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211 AktG — Wirksamwerden der Kapitalerhöhung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Eintragung des Beschlusses über die Erhöhung des Grundkapitals ist das Grundkapital erhöht.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211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