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AktG — Mitteilungspflichten der Gesellschaft</w:t>
      </w:r>
    </w:p>
    <w:p>
      <w:r>
        <w:rPr>
          <w:color w:val="555555"/>
          <w:sz w:val="18"/>
        </w:rPr>
        <w:t xml:space="preserve">Aktiengesetz</w:t>
      </w:r>
    </w:p>
    <w:p>
      <w:r>
        <w:rPr>
          <w:color w:val="555555"/>
          <w:sz w:val="18"/>
        </w:rPr>
        <w:t xml:space="preserve">Stand: 01.01.2025 (konsolidierte Textfassung, kein amtliches Inkrafttretensdatum)</w:t>
      </w:r>
    </w:p>
    <w:p>
      <w:r>
        <w:t xml:space="preserve">(1) Sobald der Gesellschaft mehr als der vierte Teil der Anteile einer anderen Kapitalgesellschaft mit Sitz im Inland gehört, hat sie dies dem Unternehmen, an dem die Beteiligung besteht, unverzüglich in Textform mitzuteilen. Für die Feststellung, ob der Gesellschaft mehr als der vierte Teil der Anteile gehört, gilt § 16 Abs. 2 Satz 1, Abs. 4 sinngemäß.</w:t>
      </w:r>
    </w:p>
    <w:p>
      <w:r>
        <w:t xml:space="preserve">(2) Sobald der Gesellschaft eine Mehrheitsbeteiligung (§ 16 Abs. 1) an einem anderen Unternehmen gehört, hat sie dies dem Unternehmen, an dem die Mehrheitsbeteiligung besteht, unverzüglich in Textform mitzuteilen.</w:t>
      </w:r>
    </w:p>
    <w:p>
      <w:r>
        <w:t xml:space="preserve">(3) Besteht die Beteiligung in der nach Absatz 1 oder 2 mitteilungspflichtigen Höhe nicht mehr, hat die Gesellschaft dies dem anderen Unternehmen unverzüglich in Textform mitzuteilen.</w:t>
      </w:r>
    </w:p>
    <w:p>
      <w:r>
        <w:t xml:space="preserve">(4) Rechte aus Anteilen, die einer nach Absatz 1 oder 2 mitteilungspflichtigen Gesellschaft gehören, bestehen nicht für die Zeit, für die sie die Mitteilungspflicht nicht erfüllt. § 20 Abs. 7 Satz 2 gilt entsprechend.</w:t>
      </w:r>
    </w:p>
    <w:p>
      <w:r>
        <w:t xml:space="preserve">(5) Die Absätze 1 bis 4 gelten nicht für Aktien eines Emittenten im Sinne des § 33 Absatz 4 des Wertpapierhandelsgesetzes.</w:t>
      </w:r>
    </w:p>
    <w:p>
      <w:r>
        <w:rPr>
          <w:color w:val="555555"/>
          <w:sz w:val="17"/>
        </w:rPr>
        <w:t xml:space="preserve">Zitiervorschlag: § 21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