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208 AktG — Umwandlungsfähigkeit von Kapital- und Gewinnrücklagen</w:t>
      </w:r>
    </w:p>
    <w:p>
      <w:r>
        <w:rPr>
          <w:color w:val="555555"/>
          <w:sz w:val="18"/>
        </w:rPr>
        <w:t xml:space="preserve">Aktiengesetz</w:t>
      </w:r>
    </w:p>
    <w:p>
      <w:r>
        <w:rPr>
          <w:color w:val="555555"/>
          <w:sz w:val="18"/>
        </w:rPr>
        <w:t xml:space="preserve">Stand: 10.06.2019 (konsolidierte Textfassung, kein amtliches Inkrafttretensdatum)</w:t>
      </w:r>
    </w:p>
    <w:p>
      <w:r>
        <w:t xml:space="preserve">(1) Die Kapitalrücklage und die Gewinnrücklagen, die in Grundkapital umgewandelt werden sollen, müssen in der letzten Jahresbilanz und, wenn dem Beschluß eine andere Bilanz zugrunde gelegt wird, auch in dieser Bilanz unter "Kapitalrücklage" oder "Gewinnrücklagen" oder im letzten Beschluß über die Verwendung des Jahresüberschusses oder des Bilanzgewinns als Zuführung zu diesen Rücklagen ausgewiesen sein. Vorbehaltlich des Absatzes 2 können andere Gewinnrücklagen und deren Zuführungen in voller Höhe, die Kapitalrücklage und die gesetzliche Rücklage sowie deren Zuführungen nur, soweit sie zusammen den zehnten oder den in der Satzung bestimmten höheren Teil des bisherigen Grundkapitals übersteigen, in Grundkapital umgewandelt werden.</w:t>
      </w:r>
    </w:p>
    <w:p>
      <w:r>
        <w:t xml:space="preserve">(2) Die Kapitalrücklage und die Gewinnrücklagen sowie deren Zuführungen können nicht umgewandelt werden, soweit in der zugrunde gelegten Bilanz ein Verlust einschließlich eines Verlustvortrags ausgewiesen ist. Gewinnrücklagen und deren Zuführungen, die für einen bestimmten Zweck bestimmt sind, dürfen nur umgewandelt werden, soweit dies mit ihrer Zweckbestimmung vereinbar ist.</w:t>
      </w:r>
    </w:p>
    <w:p>
      <w:r>
        <w:rPr>
          <w:color w:val="555555"/>
          <w:sz w:val="17"/>
        </w:rPr>
        <w:t xml:space="preserve">Zitiervorschlag: § 208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