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AktG — Voraussetzungen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Hauptversammlung kann eine Erhöhung des Grundkapitals durch Umwandlung der Kapitalrücklage und von Gewinnrücklagen in Grundkapital beschließen.</w:t>
      </w:r>
    </w:p>
    <w:p>
      <w:r>
        <w:t xml:space="preserve">(2) Für den Beschluß und für die Anmeldung des Beschlusses gelten § 182 Abs. 1, § 184 Abs. 1 sinngemäß. Gesellschaften mit Stückaktien können ihr Grundkapital auch ohne Ausgabe neuer Aktien erhöhen; der Beschluß über die Kapitalerhöhung muß die Art der Erhöhung angeben.</w:t>
      </w:r>
    </w:p>
    <w:p>
      <w:r>
        <w:t xml:space="preserve">(3) Dem Beschluß ist eine Bilanz zugrunde zu legen.</w:t>
      </w:r>
    </w:p>
    <w:p>
      <w:r>
        <w:rPr>
          <w:color w:val="555555"/>
          <w:sz w:val="17"/>
        </w:rPr>
        <w:t xml:space="preserve">Zitiervorschlag: § 207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