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206 AktG — Verträge über Sacheinlagen vor Eintragung der Gesellschaft</w:t>
      </w:r>
    </w:p>
    <w:p>
      <w:r>
        <w:rPr>
          <w:color w:val="555555"/>
          <w:sz w:val="18"/>
        </w:rPr>
        <w:t xml:space="preserve">Aktiengesetz</w:t>
      </w:r>
    </w:p>
    <w:p>
      <w:r>
        <w:rPr>
          <w:color w:val="555555"/>
          <w:sz w:val="18"/>
        </w:rPr>
        <w:t xml:space="preserve">Stand: 10.06.2019 (konsolidierte Textfassung, kein amtliches Inkrafttretensdatum)</w:t>
      </w:r>
    </w:p>
    <w:p>
      <w:r>
        <w:t xml:space="preserve">Sind vor Eintragung der Gesellschaft Verträge geschlossen worden, nach denen auf das genehmigte Kapital eine Sacheinlage zu leisten ist, so muß die Satzung die Festsetzungen enthalten, die für eine Ausgabe gegen Sacheinlagen vorgeschrieben sind. Dabei gelten sinngemäß § 27 Abs. 3 und 5, die §§ 32 bis 35, 37 Abs. 4 Nr. 2, 4 und 5, die §§ 37a, 38 Abs. 2 und 3 sowie § 49 über die Gründung der Gesellschaft. An die Stelle der Gründer tritt der Vorstand und an die Stelle der Anmeldung und Eintragung der Gesellschaft die Anmeldung und Eintragung der Durchführung der Erhöhung des Grundkapitals.</w:t>
      </w:r>
    </w:p>
    <w:p>
      <w:r>
        <w:rPr>
          <w:color w:val="555555"/>
          <w:sz w:val="17"/>
        </w:rPr>
        <w:t xml:space="preserve">Zitiervorschlag: § 206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