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 AktG — Anmeldung der Ausgabe von Bezugsaktien</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meldet ausgegebene Bezugsaktien zur Eintragung in das Handelsregister mindestens einmal jährlich bis spätestens zum Ende des auf den Ablauf des Geschäftsjahrs folgenden Kalendermonats an.</w:t>
      </w:r>
    </w:p>
    <w:p>
      <w:r>
        <w:t xml:space="preserve">(2) Der Anmeldung sind die Zweitschriften der Bezugserklärungen und ein vom Vorstand unterschriebenes Verzeichnis der Personen, die das Bezugsrecht ausgeübt haben, beizufügen. Das Verzeichnis hat die auf jeden Aktionär entfallenden Aktien und die auf sie gemachten Einlagen anzugeben.</w:t>
      </w:r>
    </w:p>
    <w:p>
      <w:r>
        <w:t xml:space="preserve">(3) In der Anmeldung hat der Vorstand zu erklären, daß die Bezugsaktien nur in Erfüllung des im Beschluß über die bedingte Kapitalerhöhung festgesetzten Zwecks und nicht vor der vollen Leistung des Gegenwerts ausgegeben worden sind, der sich aus dem Beschluß ergibt.</w:t>
      </w:r>
    </w:p>
    <w:p>
      <w:r>
        <w:t xml:space="preserve">(4) (weggefallen)</w:t>
      </w:r>
    </w:p>
    <w:p>
      <w:r>
        <w:rPr>
          <w:color w:val="555555"/>
          <w:sz w:val="17"/>
        </w:rPr>
        <w:t xml:space="preserve">Zitiervorschlag: § 201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