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195 AktG — Anmeldung des Beschlusses</w:t>
      </w:r>
    </w:p>
    <w:p>
      <w:r>
        <w:rPr>
          <w:color w:val="555555"/>
          <w:sz w:val="18"/>
        </w:rPr>
        <w:t xml:space="preserve">Aktiengesetz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Vorstand und der Vorsitzende des Aufsichtsrats haben den Beschluß über die bedingte Kapitalerhöhung zur Eintragung in das Handelsregister anzumelden. § 184 Abs. 1 Satz 3 gilt entsprechend.</w:t>
      </w:r>
    </w:p>
    <w:p>
      <w:r>
        <w:t xml:space="preserve">(2) Der Anmeldung sind beizufügen</w:t>
      </w:r>
    </w:p>
    <w:p>
      <w:pPr>
        <w:ind w:left="420"/>
      </w:pPr>
      <w:r>
        <w:t xml:space="preserve">1. bei einer bedingten Kapitalerhöhung mit Sacheinlagen die Verträge, die den Festsetzungen nach § 194 zugrunde liegen oder zu ihrer Ausführung geschlossen worden sind, und der Bericht über die Prüfung von Sacheinlagen (§ 194 Abs. 4) oder die in § 37a Abs. 3 bezeichneten Anlagen;</w:t>
      </w:r>
    </w:p>
    <w:p>
      <w:pPr>
        <w:ind w:left="420"/>
      </w:pPr>
      <w:r>
        <w:t xml:space="preserve">2. eine Berechnung der Kosten, die für die Gesellschaft durch die Ausgabe der Bezugsaktien entstehen werden.</w:t>
      </w:r>
    </w:p>
    <w:p>
      <w:pPr>
        <w:ind w:left="420"/>
      </w:pPr>
      <w:r>
        <w:t xml:space="preserve">3. (weggefallen)</w:t>
      </w:r>
    </w:p>
    <w:p>
      <w:r>
        <w:t xml:space="preserve">(3) Das Gericht kann die Eintragung ablehnen, wenn der Wert der Sacheinlage nicht unwesentlich hinter dem geringsten Ausgabebetrag der dafür zu gewährenden Aktien zurückbleibt. Wird von einer Prüfung der Sacheinlage nach § 183a Abs. 1 abgesehen, gilt § 38 Abs. 3 entsprechend.</w:t>
      </w:r>
    </w:p>
    <w:p>
      <w:r>
        <w:rPr>
          <w:color w:val="555555"/>
          <w:sz w:val="17"/>
        </w:rPr>
        <w:t xml:space="preserve">Zitiervorschlag: § 195 AktG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https://recht.nulegal.eu/gesetze/AktG/195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