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194 AktG — Bedingte Kapitalerhöhung mit Sacheinlagen; Rückzahlung von Einlagen</w:t>
      </w:r>
    </w:p>
    <w:p>
      <w:r>
        <w:rPr>
          <w:color w:val="555555"/>
          <w:sz w:val="18"/>
        </w:rPr>
        <w:t xml:space="preserve">Aktiengesetz</w:t>
      </w:r>
    </w:p>
    <w:p>
      <w:r>
        <w:rPr>
          <w:color w:val="555555"/>
          <w:sz w:val="18"/>
        </w:rPr>
        <w:t xml:space="preserve">Stand: 10.06.2019 (konsolidierte Textfassung, kein amtliches Inkrafttretensdatum)</w:t>
      </w:r>
    </w:p>
    <w:p>
      <w:r>
        <w:t xml:space="preserve">(1) Wird eine Sacheinlage gemacht, so müssen ihr Gegenstand, die Person, von der die Gesellschaft den Gegenstand erwirbt, und der Nennbetrag, bei Stückaktien die Zahl der bei der Sacheinlage zu gewährenden Aktien im Beschluß über die bedingte Kapitalerhöhung festgesetzt werden. Als Sacheinlage gilt nicht der Umtausch von Schuldverschreibungen gegen Bezugsaktien. Der Beschluß darf nur gefaßt werden, wenn die Einbringung von Sacheinlagen ausdrücklich und ordnungsgemäß bekanntgemacht worden ist.</w:t>
      </w:r>
    </w:p>
    <w:p>
      <w:r>
        <w:t xml:space="preserve">(2) § 27 Abs. 3 und 4 gilt entsprechend; an die Stelle des Zeitpunkts der Anmeldung nach § 27 Abs. 3 Satz 3 und der Eintragung nach § 27 Abs. 3 Satz 4 tritt jeweils der Zeitpunkt der Ausgabe der Bezugsaktien.</w:t>
      </w:r>
    </w:p>
    <w:p>
      <w:r>
        <w:t xml:space="preserve">(3) Die Absätze 1 und 2 gelten nicht für die Einlage von Geldforderungen, die Arbeitnehmern der Gesellschaft aus einer ihnen von der Gesellschaft eingeräumten Gewinnbeteiligung zustehen.</w:t>
      </w:r>
    </w:p>
    <w:p>
      <w:r>
        <w:t xml:space="preserve">(4) Bei der Kapitalerhöhung mit Sacheinlagen hat eine Prüfung durch einen oder mehrere Prüfer stattzufinden. § 33 Abs. 3 bis 5, die §§ 34, 35 gelten sinngemäß.</w:t>
      </w:r>
    </w:p>
    <w:p>
      <w:r>
        <w:t xml:space="preserve">(5) § 183a gilt entsprechend.</w:t>
      </w:r>
    </w:p>
    <w:p>
      <w:r>
        <w:rPr>
          <w:color w:val="555555"/>
          <w:sz w:val="17"/>
        </w:rPr>
        <w:t xml:space="preserve">Zitiervorschlag: § 194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