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 AktG — Erfordernisse des Beschlusses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 über die bedingte Kapitalerhöhung bedarf einer Mehrheit, die mindestens drei Viertel des bei der Beschlußfassung vertretenen Grundkapitals umfaßt. Die Satzung kann eine größere Kapitalmehrheit und weitere Erfordernisse bestimmen. § 182 Abs. 2 und § 187 Abs. 2 gelten.</w:t>
      </w:r>
    </w:p>
    <w:p>
      <w:r>
        <w:t xml:space="preserve">(2) Im Beschluß müssen auch festgestellt werden</w:t>
      </w:r>
    </w:p>
    <w:p>
      <w:pPr>
        <w:ind w:left="420"/>
      </w:pPr>
      <w:r>
        <w:t xml:space="preserve">1. der Zweck der bedingten Kapitalerhöhung;</w:t>
      </w:r>
    </w:p>
    <w:p>
      <w:pPr>
        <w:ind w:left="420"/>
      </w:pPr>
      <w:r>
        <w:t xml:space="preserve">2. der Kreis der Bezugsberechtigten;</w:t>
      </w:r>
    </w:p>
    <w:p>
      <w:pPr>
        <w:ind w:left="420"/>
      </w:pPr>
      <w:r>
        <w:t xml:space="preserve">3. der Ausgabebetrag oder die Grundlagen, nach denen dieser Betrag errechnet wird; bei einer bedingten Kapitalerhöhung für die Zwecke des § 192 Abs. 2 Nr. 1 genügt es, wenn in dem Beschluss oder in dem damit verbundenen Beschluss nach § 221 der Mindestausgabebetrag oder die Grundlagen für die Festlegung des Ausgabebetrags oder des Mindestausgabebetrags bestimmt werden; sowie</w:t>
      </w:r>
    </w:p>
    <w:p>
      <w:pPr>
        <w:ind w:left="420"/>
      </w:pPr>
      <w:r>
        <w:t xml:space="preserve">4. bei Beschlüssen nach § 192 Abs. 2 Nr. 3 auch die Aufteilung der Bezugsrechte auf Mitglieder der Geschäftsführungen und Arbeitnehmer, Erfolgsziele, Erwerbs- und Ausübungszeiträume und Wartezeit für die erstmalige Ausübung (mindestens vier Jahre).</w:t>
      </w:r>
    </w:p>
    <w:p>
      <w:r>
        <w:rPr>
          <w:color w:val="555555"/>
          <w:sz w:val="17"/>
        </w:rPr>
        <w:t xml:space="preserve">Zitiervorschlag: § 193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https://recht.nulegal.eu/gesetze/AktG/193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