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188 AktG — Anmeldung und Eintragung der Durchführung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und der Vorsitzende des Aufsichtsrats haben die Durchführung der Erhöhung des Grundkapitals zur Eintragung in das Handelsregister anzumelden.</w:t>
      </w:r>
    </w:p>
    <w:p>
      <w:r>
        <w:t xml:space="preserve">(2) Für die Anmeldung gelten sinngemäß § 36 Abs. 2, § 36a und § 37 Abs. 1. Durch Gutschrift auf ein Konto des Vorstands kann die Einzahlung nicht geleistet werden.</w:t>
      </w:r>
    </w:p>
    <w:p>
      <w:r>
        <w:t xml:space="preserve">(3) Der Anmeldung sind beizufügen</w:t>
      </w:r>
    </w:p>
    <w:p>
      <w:pPr>
        <w:ind w:left="420"/>
      </w:pPr>
      <w:r>
        <w:t xml:space="preserve">1. die Zweitschriften der Zeichnungsscheine und ein vom Vorstand unterschriebenes Verzeichnis der Zeichner, das die auf jeden entfallenden Aktien und die auf sie geleisteten Einzahlungen angibt;</w:t>
      </w:r>
    </w:p>
    <w:p>
      <w:pPr>
        <w:ind w:left="420"/>
      </w:pPr>
      <w:r>
        <w:t xml:space="preserve">2. bei einer Kapitalerhöhung mit Sacheinlagen die Verträge, die den Festsetzungen nach § 183 zugrunde liegen oder zu ihrer Ausführung geschlossen worden sind;</w:t>
      </w:r>
    </w:p>
    <w:p>
      <w:pPr>
        <w:ind w:left="420"/>
      </w:pPr>
      <w:r>
        <w:t xml:space="preserve">3. eine Berechnung der Kosten, die für die Gesellschaft durch die Ausgabe der neuen Aktien entstehen werden.</w:t>
      </w:r>
    </w:p>
    <w:p>
      <w:pPr>
        <w:ind w:left="420"/>
      </w:pPr>
      <w:r>
        <w:t xml:space="preserve">4. (weggefallen)</w:t>
      </w:r>
    </w:p>
    <w:p>
      <w:r>
        <w:t xml:space="preserve">(4) Anmeldung und Eintragung der Durchführung der Erhöhung des Grundkapitals können mit Anmeldung und Eintragung des Beschlusses über die Erhöhung verbunden werden.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188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