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182 AktG — Voraussetzungen</w:t>
      </w:r>
    </w:p>
    <w:p>
      <w:r>
        <w:rPr>
          <w:color w:val="555555"/>
          <w:sz w:val="18"/>
        </w:rPr>
        <w:t xml:space="preserve">Aktiengesetz</w:t>
      </w:r>
    </w:p>
    <w:p>
      <w:r>
        <w:rPr>
          <w:color w:val="555555"/>
          <w:sz w:val="18"/>
        </w:rPr>
        <w:t xml:space="preserve">Stand: 10.06.2019 (konsolidierte Textfassung, kein amtliches Inkrafttretensdatum)</w:t>
      </w:r>
    </w:p>
    <w:p>
      <w:r>
        <w:t xml:space="preserve">(1) Eine Erhöhung des Grundkapitals gegen Einlagen kann nur mit einer Mehrheit beschlossen werden, die mindestens drei Viertel des bei der Beschlußfassung vertretenen Grundkapitals umfaßt. Die Satzung kann eine andere Kapitalmehrheit, für die Ausgabe von Vorzugsaktien ohne Stimmrecht jedoch nur eine größere Kapitalmehrheit bestimmen. Sie kann weitere Erfordernisse aufstellen. Die Kapitalerhöhung kann nur durch Ausgabe neuer Aktien ausgeführt werden. Bei Gesellschaften mit Stückaktien muß sich die Zahl der Aktien in demselben Verhältnis wie das Grundkapital erhöhen.</w:t>
      </w:r>
    </w:p>
    <w:p>
      <w:r>
        <w:t xml:space="preserve">(2) Sind mehrere Gattungen von stimmberechtigten Aktien vorhanden, so bedarf der Beschluß der Hauptversammlung zu seiner Wirksamkeit der Zustimmung der Aktionäre jeder Gattung. Über die Zustimmung haben die Aktionäre jeder Gattung einen Sonderbeschluß zu fassen. Für diesen gilt Absatz 1.</w:t>
      </w:r>
    </w:p>
    <w:p>
      <w:r>
        <w:t xml:space="preserve">(3) Sollen die neuen Aktien für einen höheren Betrag als den geringsten Ausgabebetrag ausgegeben werden, so ist der Mindestbetrag, unter dem sie nicht ausgegeben werden sollen, im Beschluß über die Erhöhung des Grundkapitals festzusetzen.</w:t>
      </w:r>
    </w:p>
    <w:p>
      <w:r>
        <w:t xml:space="preserve">(4) Das Grundkapital soll nicht erhöht werden, solange ausstehende Einlagen auf das bisherige Grundkapital noch erlangt werden können. Für Versicherungsgesellschaften kann die Satzung etwas anderes bestimmen. Stehen Einlagen in verhältnismäßig unerheblichem Umfang aus, so hindert dies die Erhöhung des Grundkapitals nicht.</w:t>
      </w:r>
    </w:p>
    <w:p>
      <w:r>
        <w:rPr>
          <w:color w:val="555555"/>
          <w:sz w:val="17"/>
        </w:rPr>
        <w:t xml:space="preserve">Zitiervorschlag: § 182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https://recht.nulegal.eu/gesetze/AktG/182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