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181 AktG — Eintragung der Satzungsänderung</w:t>
      </w:r>
    </w:p>
    <w:p>
      <w:r>
        <w:rPr>
          <w:color w:val="555555"/>
          <w:sz w:val="18"/>
        </w:rPr>
        <w:t xml:space="preserve">Aktiengesetz</w:t>
      </w:r>
    </w:p>
    <w:p>
      <w:r>
        <w:rPr>
          <w:color w:val="555555"/>
          <w:sz w:val="18"/>
        </w:rPr>
        <w:t xml:space="preserve">Stand: 10.06.2019 (konsolidierte Textfassung, kein amtliches Inkrafttretensdatum)</w:t>
      </w:r>
    </w:p>
    <w:p>
      <w:r>
        <w:t xml:space="preserve">(1) Der Vorstand hat die Satzungsänderung zur Eintragung in das Handelsregister anzumelden. Der Anmeldung ist der vollständige Wortlaut der Satzung beizufügen; er muß mit der Bescheinigung eines Notars versehen sein, daß die geänderten Bestimmungen der Satzung mit dem Beschluß über die Satzungsänderung und die unveränderten Bestimmungen mit dem zuletzt zum Handelsregister eingereichten vollständigen Wortlaut der Satzung übereinstimmen.</w:t>
      </w:r>
    </w:p>
    <w:p>
      <w:r>
        <w:t xml:space="preserve">(2) Soweit nicht die Änderung Angaben nach § 39 betrifft, genügt bei der Eintragung die Bezugnahme auf die beim Gericht eingereichten Urkunden.</w:t>
      </w:r>
    </w:p>
    <w:p>
      <w:r>
        <w:t xml:space="preserve">(3) Die Änderung wird erst wirksam, wenn sie in das Handelsregister des Sitzes der Gesellschaft eingetragen worden ist.</w:t>
      </w:r>
    </w:p>
    <w:p>
      <w:r>
        <w:rPr>
          <w:color w:val="555555"/>
          <w:sz w:val="17"/>
        </w:rPr>
        <w:t xml:space="preserve">Zitiervorschlag: § 181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