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180 AktG — Zustimmung der betroffenen Aktionäre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Beschluß, der Aktionären Nebenverpflichtungen auferlegt, bedarf zu seiner Wirksamkeit der Zustimmung aller betroffenen Aktionäre.</w:t>
      </w:r>
    </w:p>
    <w:p>
      <w:r>
        <w:t xml:space="preserve">(2) Gleiches gilt für einen Beschluß, durch den die Übertragung von Namensaktien oder Zwischenscheinen an die Zustimmung der Gesellschaft gebunden wird.</w:t>
      </w:r>
    </w:p>
    <w:p>
      <w:r>
        <w:rPr>
          <w:color w:val="555555"/>
          <w:sz w:val="17"/>
        </w:rPr>
        <w:t xml:space="preserve">Zitiervorschlag: § 180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https://recht.nulegal.eu/gesetze/AktG/180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