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AktG — Beschluß der Hauptversammlung</w:t>
      </w:r>
    </w:p>
    <w:p>
      <w:r>
        <w:rPr>
          <w:color w:val="555555"/>
          <w:sz w:val="18"/>
        </w:rPr>
        <w:t xml:space="preserve">Aktiengesetz</w:t>
      </w:r>
    </w:p>
    <w:p>
      <w:r>
        <w:rPr>
          <w:color w:val="555555"/>
          <w:sz w:val="18"/>
        </w:rPr>
        <w:t xml:space="preserve">Stand: 10.06.2019 (konsolidierte Textfassung, kein amtliches Inkrafttretensdatum)</w:t>
      </w:r>
    </w:p>
    <w:p>
      <w:r>
        <w:t xml:space="preserve">(1) Jede Satzungsänderung bedarf eines Beschlusses der Hauptversammlung. Die Befugnis zu Änderungen, die nur die Fassung betreffen, kann die Hauptversammlung dem Aufsichtsrat übertragen.</w:t>
      </w:r>
    </w:p>
    <w:p>
      <w:r>
        <w:t xml:space="preserve">(2) Der Beschluß der Hauptversammlung bedarf einer Mehrheit, die mindestens drei Viertel des bei der Beschlußfassung vertretenen Grundkapitals umfaßt. Die Satzung kann eine andere Kapitalmehrheit, für eine Änderung des Gegenstands des Unternehmens jedoch nur eine größere Kapitalmehrheit bestimmen. Sie kann weitere Erfordernisse aufstellen.</w:t>
      </w:r>
    </w:p>
    <w:p>
      <w:r>
        <w:t xml:space="preserve">(3) Soll das bisherige Verhältnis mehrerer Gattungen von Aktien zum Nachteil einer Gattung geändert werden, so bedarf der Beschluß der Hauptversammlung zu seiner Wirksamkeit der Zustimmung der benachteiligten Aktionäre. Über die Zustimmung haben die benachteiligten Aktionäre einen Sonderbeschluß zu fassen. Für diesen gilt Absatz 2.</w:t>
      </w:r>
    </w:p>
    <w:p>
      <w:r>
        <w:rPr>
          <w:color w:val="555555"/>
          <w:sz w:val="17"/>
        </w:rPr>
        <w:t xml:space="preserve">Zitiervorschlag: § 179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