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174 AktG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Hauptversammlung beschließt über die Verwendung des Bilanzgewinns. Sie ist hierbei an den festgestellten Jahresabschluß gebunden.</w:t>
      </w:r>
    </w:p>
    <w:p>
      <w:r>
        <w:t xml:space="preserve">(2) In dem Beschluß ist die Verwendung des Bilanzgewinns im einzelnen darzulegen, namentlich sind anzugeben</w:t>
      </w:r>
    </w:p>
    <w:p>
      <w:pPr>
        <w:ind w:left="420"/>
      </w:pPr>
      <w:r>
        <w:t xml:space="preserve">1. der Bilanzgewinn;</w:t>
      </w:r>
    </w:p>
    <w:p>
      <w:pPr>
        <w:ind w:left="420"/>
      </w:pPr>
      <w:r>
        <w:t xml:space="preserve">2. der an die Aktionäre auszuschüttende Betrag oder Sachwert;</w:t>
      </w:r>
    </w:p>
    <w:p>
      <w:pPr>
        <w:ind w:left="420"/>
      </w:pPr>
      <w:r>
        <w:t xml:space="preserve">3. die in Gewinnrücklagen einzustellenden Beträge;</w:t>
      </w:r>
    </w:p>
    <w:p>
      <w:pPr>
        <w:ind w:left="420"/>
      </w:pPr>
      <w:r>
        <w:t xml:space="preserve">4. ein Gewinnvortrag;</w:t>
      </w:r>
    </w:p>
    <w:p>
      <w:pPr>
        <w:ind w:left="420"/>
      </w:pPr>
      <w:r>
        <w:t xml:space="preserve">5. der zusätzliche Aufwand auf Grund des Beschlusses.</w:t>
      </w:r>
    </w:p>
    <w:p>
      <w:r>
        <w:t xml:space="preserve">(3) Der Beschluß führt nicht zu einer Änderung des festgestellten Jahresabschlusses.</w:t>
      </w:r>
    </w:p>
    <w:p>
      <w:r>
        <w:rPr>
          <w:color w:val="555555"/>
          <w:sz w:val="17"/>
        </w:rPr>
        <w:t xml:space="preserve">Zitiervorschlag: § 174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