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170 AktG — Vorlage an den Aufsichtsrat</w:t>
      </w:r>
    </w:p>
    <w:p>
      <w:r>
        <w:rPr>
          <w:color w:val="555555"/>
          <w:sz w:val="18"/>
        </w:rPr>
        <w:t xml:space="preserve">Aktiengesetz</w:t>
      </w:r>
    </w:p>
    <w:p>
      <w:r>
        <w:rPr>
          <w:color w:val="555555"/>
          <w:sz w:val="18"/>
        </w:rPr>
        <w:t xml:space="preserve">Stand: 25.06.2023 (konsolidierte Textfassung, kein amtliches Inkrafttretensdatum)</w:t>
      </w:r>
    </w:p>
    <w:p>
      <w:r>
        <w:t xml:space="preserve">(1) Der Vorstand hat den Jahresabschluß und den Lagebericht unverzüglich nach ihrer Aufstellung dem Aufsichtsrat vorzulegen. Satz 1 gilt entsprechend für einen Einzelabschluss nach § 325 Abs. 2a des Handelsgesetzbuchs sowie bei Mutterunternehmen (§ 290 Abs. 1, 2 des Handelsgesetzbuchs) für den Konzernabschluss und den Konzernlagebericht. Nach Satz 1 vorzulegen sind auch der gesonderte nichtfinanzielle Bericht (§ 289b des Handelsgesetzbuchs), der gesonderte nichtfinanzielle Konzernbericht (§ 315b des Handelsgesetzbuchs), der Ertragsteuerinformationsbericht (§§ 342b, 342c, 342d Absatz 2 Nummer 2 des Handelsgesetzbuchs) und die Erklärung nach § 342d Absatz 2 Nummer 1 des Handelsgesetzbuchs, sofern sie erstellt wurden.</w:t>
      </w:r>
    </w:p>
    <w:p>
      <w:r>
        <w:t xml:space="preserve">(2) Zugleich hat der Vorstand dem Aufsichtsrat den Vorschlag vorzulegen, den er der Hauptversammlung für die Verwendung des Bilanzgewinns machen will. Der Vorschlag ist, sofern er keine abweichende Gliederung bedingt, wie folgt zu gliedern:</w:t>
      </w:r>
    </w:p>
    <w:p>
      <w:r>
        <w:rPr>
          <w:rFonts w:ascii="Courier New" w:hAnsi="Courier New"/>
          <w:sz w:val="17"/>
        </w:rPr>
        <w:t xml:space="preserve">1.    Verteilung an die Aktionäre    ...</w:t>
      </w:r>
    </w:p>
    <w:p>
      <w:r>
        <w:rPr>
          <w:rFonts w:ascii="Courier New" w:hAnsi="Courier New"/>
          <w:sz w:val="17"/>
        </w:rPr>
        <w:t xml:space="preserve">2.    Einstellung in Gewinnrücklagen    ...</w:t>
      </w:r>
    </w:p>
    <w:p>
      <w:r>
        <w:rPr>
          <w:rFonts w:ascii="Courier New" w:hAnsi="Courier New"/>
          <w:sz w:val="17"/>
        </w:rPr>
        <w:t xml:space="preserve">3.    Gewinnvortrag    ...</w:t>
      </w:r>
    </w:p>
    <w:p>
      <w:r>
        <w:rPr>
          <w:rFonts w:ascii="Courier New" w:hAnsi="Courier New"/>
          <w:sz w:val="17"/>
        </w:rPr>
        <w:t xml:space="preserve">4.    Bilanzgewinn    ...</w:t>
      </w:r>
    </w:p>
    <w:p>
      <w:r>
        <w:t xml:space="preserve">(3) Jedes Aufsichtsratsmitglied hat das Recht, von den Vorlagen und Prüfungsberichten Kenntnis zu nehmen. Die Vorlagen und Prüfungsberichte sind auch jedem Aufsichtsratsmitglied oder, soweit der Aufsichtsrat dies beschlossen hat, den Mitgliedern eines Ausschusses zu übermitteln.</w:t>
      </w:r>
    </w:p>
    <w:p>
      <w:r>
        <w:rPr>
          <w:color w:val="555555"/>
          <w:sz w:val="17"/>
        </w:rPr>
        <w:t xml:space="preserve">Zitiervorschlag: § 170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