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AktG — Vorschriften zur Gewinn- und Verlustrechnung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Gewinn- und Verlustrechnung ist nach dem Posten "Jahresüberschuß/Jahresfehlbetrag" in Fortführung der Numerierung um die folgenden Posten zu ergänzen:</w:t>
      </w:r>
    </w:p>
    <w:p>
      <w:pPr>
        <w:ind w:left="420"/>
      </w:pPr>
      <w:r>
        <w:t xml:space="preserve">1. Gewinnvortrag/Verlustvortrag aus dem Vorjahr</w:t>
      </w:r>
    </w:p>
    <w:p>
      <w:pPr>
        <w:ind w:left="420"/>
      </w:pPr>
      <w:r>
        <w:t xml:space="preserve">2. Entnahmen aus der Kapitalrücklage</w:t>
      </w:r>
    </w:p>
    <w:p>
      <w:pPr>
        <w:ind w:left="420"/>
      </w:pPr>
      <w:r>
        <w:t xml:space="preserve">3. Entnahmen aus Gewinnrücklagen</w:t>
      </w:r>
    </w:p>
    <w:p>
      <w:pPr>
        <w:ind w:left="780"/>
      </w:pPr>
      <w:r>
        <w:t xml:space="preserve">a) aus der gesetzlichen Rücklage</w:t>
      </w:r>
    </w:p>
    <w:p>
      <w:pPr>
        <w:ind w:left="780"/>
      </w:pPr>
      <w:r>
        <w:t xml:space="preserve">b) aus der Rücklage für Anteile an einem herrschenden oder mehrheitlich beteiligten Unternehmen</w:t>
      </w:r>
    </w:p>
    <w:p>
      <w:pPr>
        <w:ind w:left="780"/>
      </w:pPr>
      <w:r>
        <w:t xml:space="preserve">c) aus satzungsmäßigen Rücklagen</w:t>
      </w:r>
    </w:p>
    <w:p>
      <w:pPr>
        <w:ind w:left="780"/>
      </w:pPr>
      <w:r>
        <w:t xml:space="preserve">d) aus anderen Gewinnrücklagen</w:t>
      </w:r>
    </w:p>
    <w:p>
      <w:pPr>
        <w:ind w:left="420"/>
      </w:pPr>
      <w:r>
        <w:t xml:space="preserve">4. Einstellungen in Gewinnrücklagen</w:t>
      </w:r>
    </w:p>
    <w:p>
      <w:pPr>
        <w:ind w:left="780"/>
      </w:pPr>
      <w:r>
        <w:t xml:space="preserve">a) in die gesetzliche Rücklage</w:t>
      </w:r>
    </w:p>
    <w:p>
      <w:pPr>
        <w:ind w:left="780"/>
      </w:pPr>
      <w:r>
        <w:t xml:space="preserve">b) in die Rücklage für Anteile an einem herrschenden oder mehrheitlich beteiligten Unternehmen</w:t>
      </w:r>
    </w:p>
    <w:p>
      <w:pPr>
        <w:ind w:left="780"/>
      </w:pPr>
      <w:r>
        <w:t xml:space="preserve">c) in satzungsmäßige Rücklagen</w:t>
      </w:r>
    </w:p>
    <w:p>
      <w:pPr>
        <w:ind w:left="780"/>
      </w:pPr>
      <w:r>
        <w:t xml:space="preserve">d) in andere Gewinnrücklagen</w:t>
      </w:r>
    </w:p>
    <w:p>
      <w:pPr>
        <w:ind w:left="420"/>
      </w:pPr>
      <w:r>
        <w:t xml:space="preserve">5. Bilanzgewinn/Bilanzverlust.</w:t>
      </w:r>
    </w:p>
    <w:p>
      <w:r>
        <w:t xml:space="preserve">Die Angaben nach Satz 1 können auch im Anhang gemacht werden.</w:t>
      </w:r>
    </w:p>
    <w:p>
      <w:r>
        <w:t xml:space="preserve">(2) Von dem Ertrag aus einem Gewinnabführungs- oder Teilgewinnabführungsvertrag ist ein vertraglich zu leistender Ausgleich für außenstehende Gesellschafter abzusetzen; übersteigt dieser den Ertrag, so ist der übersteigende Betrag unter den Aufwendungen aus Verlustübernahme auszuweisen. Andere Beträge dürfen nicht abgesetzt werden.</w:t>
      </w:r>
    </w:p>
    <w:p>
      <w:r>
        <w:t xml:space="preserve">(3) Die Absätze 1 und 2 sind nicht anzuwenden auf Aktiengesellschaften, die Kleinstkapitalgesellschaften im Sinne des § 267a des Handelsgesetzbuchs sind, wenn sie von der Erleichterung nach § 275 Absatz 5 des Handelsgesetzbuchs Gebrauch machen.</w:t>
      </w:r>
    </w:p>
    <w:p>
      <w:r>
        <w:rPr>
          <w:color w:val="555555"/>
          <w:sz w:val="17"/>
        </w:rPr>
        <w:t xml:space="preserve">Zitiervorschlag: § 158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