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AktG — Gesetzliche Rücklage. Kapitalrücklage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Bilanz des nach den §§ 242, 264 des Handelsgesetzbuchs aufzustellenden Jahresabschlusses ist eine gesetzliche Rücklage zu bilden.</w:t>
      </w:r>
    </w:p>
    <w:p>
      <w:r>
        <w:t xml:space="preserve">(2) In diese ist der zwanzigste Teil des um einen Verlustvortrag aus dem Vorjahr geminderten Jahresüberschusses einzustellen, bis die gesetzliche Rücklage und die Kapitalrücklagen nach § 272 Abs. 2 Nr. 1 bis 3 des Handelsgesetzbuchs zusammen den zehnten oder den in der Satzung bestimmten höheren Teil des Grundkapitals erreichen.</w:t>
      </w:r>
    </w:p>
    <w:p>
      <w:r>
        <w:t xml:space="preserve">(3) Übersteigen die gesetzliche Rücklage und die Kapitalrücklagen nach § 272 Abs. 2 Nr. 1 bis 3 des Handelsgesetzbuchs zusammen nicht den zehnten oder den in der Satzung bestimmten höheren Teil des Grundkapitals, so dürfen sie nur verwandt werden</w:t>
      </w:r>
    </w:p>
    <w:p>
      <w:pPr>
        <w:ind w:left="420"/>
      </w:pPr>
      <w:r>
        <w:t xml:space="preserve">1. zum Ausgleich eines Jahresfehlbetrags, soweit er nicht durch einen Gewinnvortrag aus dem Vorjahr gedeckt ist und nicht durch Auflösung anderer Gewinnrücklagen ausgeglichen werden kann;</w:t>
      </w:r>
    </w:p>
    <w:p>
      <w:pPr>
        <w:ind w:left="420"/>
      </w:pPr>
      <w:r>
        <w:t xml:space="preserve">2. zum Ausgleich eines Verlustvortrags aus dem Vorjahr, soweit er nicht durch einen Jahresüberschuß gedeckt ist und nicht durch Auflösung anderer Gewinnrücklagen ausgeglichen werden kann.</w:t>
      </w:r>
    </w:p>
    <w:p>
      <w:r>
        <w:t xml:space="preserve">(4) Übersteigen die gesetzliche Rücklage und die Kapitalrücklagen nach § 272 Abs. 2 Nr. 1 bis 3 des Handelsgesetzbuchs zusammen den zehnten oder den in der Satzung bestimmten höheren Teil des Grundkapitals, so darf der übersteigende Betrag verwandt werden</w:t>
      </w:r>
    </w:p>
    <w:p>
      <w:pPr>
        <w:ind w:left="420"/>
      </w:pPr>
      <w:r>
        <w:t xml:space="preserve">1. zum Ausgleich eines Jahresfehlbetrags, soweit er nicht durch einen Gewinnvortrag aus dem Vorjahr gedeckt ist;</w:t>
      </w:r>
    </w:p>
    <w:p>
      <w:pPr>
        <w:ind w:left="420"/>
      </w:pPr>
      <w:r>
        <w:t xml:space="preserve">2. zum Ausgleich eines Verlustvortrags aus dem Vorjahr, soweit er nicht durch einen Jahresüberschuß gedeckt ist;</w:t>
      </w:r>
    </w:p>
    <w:p>
      <w:pPr>
        <w:ind w:left="420"/>
      </w:pPr>
      <w:r>
        <w:t xml:space="preserve">3. zur Kapitalerhöhung aus Gesellschaftsmitteln nach den §§ 207 bis 220.</w:t>
      </w:r>
    </w:p>
    <w:p>
      <w:r>
        <w:t xml:space="preserve">Die Verwendung nach den Nummern 1 und 2 ist nicht zulässig, wenn gleichzeitig Gewinnrücklagen zur Gewinnausschüttung aufgelöst werden.</w:t>
      </w:r>
    </w:p>
    <w:p>
      <w:r>
        <w:rPr>
          <w:color w:val="555555"/>
          <w:sz w:val="17"/>
        </w:rPr>
        <w:t xml:space="preserve">Zitiervorschlag: § 150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