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149 AktG — Bekanntmachungen zur Haftungsklage</w:t>
      </w:r>
    </w:p>
    <w:p>
      <w:r>
        <w:rPr>
          <w:color w:val="555555"/>
          <w:sz w:val="18"/>
        </w:rPr>
        <w:t xml:space="preserve">Aktiengesetz</w:t>
      </w:r>
    </w:p>
    <w:p>
      <w:r>
        <w:rPr>
          <w:color w:val="555555"/>
          <w:sz w:val="18"/>
        </w:rPr>
        <w:t xml:space="preserve">Stand: 10.06.2019 (konsolidierte Textfassung, kein amtliches Inkrafttretensdatum)</w:t>
      </w:r>
    </w:p>
    <w:p>
      <w:r>
        <w:t xml:space="preserve">(1) Nach rechtskräftiger Zulassung der Klage gemäß § 148 sind der Antrag auf Zulassung und die Verfahrensbeendigung von der börsennotierten Gesellschaft unverzüglich in den Gesellschaftsblättern bekannt zu machen.</w:t>
      </w:r>
    </w:p>
    <w:p>
      <w:r>
        <w:t xml:space="preserve">(2) Die Bekanntmachung der Verfahrensbeendigung hat deren Art, alle mit ihr im Zusammenhang stehenden Vereinbarungen einschließlich Nebenabreden im vollständigen Wortlaut sowie die Namen der Beteiligten zu enthalten. Etwaige Leistungen der Gesellschaft und ihr zurechenbare Leistungen Dritter sind gesondert zu beschreiben und hervorzuheben. Die vollständige Bekanntmachung ist Wirksamkeitsvoraussetzung für alle Leistungspflichten. Die Wirksamkeit von verfahrensbeendigenden Prozesshandlungen bleibt hiervon unberührt. Trotz Unwirksamkeit bewirkte Leistungen können zurückgefordert werden.</w:t>
      </w:r>
    </w:p>
    <w:p>
      <w:r>
        <w:t xml:space="preserve">(3) Die vorstehenden Bestimmungen gelten entsprechend für Vereinbarungen, die zur Vermeidung eines Prozesses geschlossen werden.</w:t>
      </w:r>
    </w:p>
    <w:p>
      <w:r>
        <w:rPr>
          <w:color w:val="555555"/>
          <w:sz w:val="17"/>
        </w:rPr>
        <w:t xml:space="preserve">Zitiervorschlag: § 149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