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AktG — Auswahl der Sonderprüfer</w:t>
      </w:r>
    </w:p>
    <w:p>
      <w:r>
        <w:rPr>
          <w:color w:val="555555"/>
          <w:sz w:val="18"/>
        </w:rPr>
        <w:t xml:space="preserve">Aktiengesetz</w:t>
      </w:r>
    </w:p>
    <w:p>
      <w:r>
        <w:rPr>
          <w:color w:val="555555"/>
          <w:sz w:val="18"/>
        </w:rPr>
        <w:t xml:space="preserve">Stand: 01.07.2021 (konsolidierte Textfassung, kein amtliches Inkrafttretensdatum)</w:t>
      </w:r>
    </w:p>
    <w:p>
      <w:r>
        <w:t xml:space="preserve">(1) Als Sonderprüfer sollen, wenn der Gegenstand der Sonderprüfung keine anderen Kenntnisse fordert, nur bestellt werden</w:t>
      </w:r>
    </w:p>
    <w:p>
      <w:pPr>
        <w:ind w:left="420"/>
      </w:pPr>
      <w:r>
        <w:t xml:space="preserve">1. Personen, die in der Buchführung ausreichend vorgebildet und erfahren sind;</w:t>
      </w:r>
    </w:p>
    <w:p>
      <w:pPr>
        <w:ind w:left="420"/>
      </w:pPr>
      <w:r>
        <w:t xml:space="preserve">2. Prüfungsgesellschaften, von deren gesetzlichen Vertretern mindestens einer in der Buchführung ausreichend vorgebildet und erfahren ist.</w:t>
      </w:r>
    </w:p>
    <w:p>
      <w:r>
        <w:t xml:space="preserve">(2) Sonderprüfer darf nicht sein, wer nach § 319 Absatz 2, 3, § 319b des Handelsgesetzbuchs nicht Abschlussprüfer sein darf oder während der Zeit, in der sich der zu prüfende Vorgang ereignet hat, hätte sein dürfen. Eine Prüfungsgesellschaft darf nicht Sonderprüfer sein, wenn sie nach § 319 Absatz 2, 4, § 319b des Handelsgesetzbuchs nicht Abschlussprüfer sein darf oder während der Zeit, in der sich der zu prüfende Vorgang ereignet hat, hätte sein dürfen. Bei einer Gesellschaft, die Unternehmen von öffentlichem Interesse nach § 316a Satz 2 des Handelsgesetzbuchs ist, darf Sonderprüfer auch nicht sein, wer Nichtprüfungsleistungen nach Artikel 5 Absatz 1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erbringt oder während der Zeit, in der sich der zu prüfende Vorgang ereignet hat, erbracht hat.</w:t>
      </w:r>
    </w:p>
    <w:p>
      <w:r>
        <w:t xml:space="preserve">(3) (weggefallen)</w:t>
      </w:r>
    </w:p>
    <w:p>
      <w:r>
        <w:rPr>
          <w:color w:val="555555"/>
          <w:sz w:val="17"/>
        </w:rPr>
        <w:t xml:space="preserve">Zitiervorschlag: § 143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