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AktG — Aufhebung oder Beschränkung des Vorzugs</w:t>
      </w:r>
    </w:p>
    <w:p>
      <w:r>
        <w:rPr>
          <w:color w:val="555555"/>
          <w:sz w:val="18"/>
        </w:rPr>
        <w:t xml:space="preserve">Aktiengesetz</w:t>
      </w:r>
    </w:p>
    <w:p>
      <w:r>
        <w:rPr>
          <w:color w:val="555555"/>
          <w:sz w:val="18"/>
        </w:rPr>
        <w:t xml:space="preserve">Stand: 10.06.2019 (konsolidierte Textfassung, kein amtliches Inkrafttretensdatum)</w:t>
      </w:r>
    </w:p>
    <w:p>
      <w:r>
        <w:t xml:space="preserve">(1) Ein Beschluß, durch den der Vorzug aufgehoben oder beschränkt wird, bedarf zu seiner Wirksamkeit der Zustimmung der Vorzugsaktionäre.</w:t>
      </w:r>
    </w:p>
    <w:p>
      <w:r>
        <w:t xml:space="preserve">(2) Ein Beschluß über die Ausgabe von Vorzugsaktien, die bei der Verteilung des Gewinns oder des Gesellschaftsvermögens den Vorzugsaktien ohne Stimmrecht vorgehen oder gleichstehen, bedarf gleichfalls der Zustimmung der Vorzugsaktionäre. Der Zustimmung bedarf es nicht, wenn die Ausgabe bei Einräumung des Vorzugs oder, falls das Stimmrecht später ausgeschlossen wurde, bei der Ausschließung ausdrücklich vorbehalten worden war und das Bezugsrecht der Vorzugsaktionäre nicht ausgeschlossen wird.</w:t>
      </w:r>
    </w:p>
    <w:p>
      <w:r>
        <w:t xml:space="preserve">(3) Über die Zustimmung haben die Vorzugsaktionäre in einer gesonderten Versammlung einen Sonderbeschluß zu fassen. Er bedarf einer Mehrheit, die mindestens drei Viertel der abgegebenen Stimmen umfaßt. Die Satzung kann weder eine andere Mehrheit noch weitere Erfordernisse bestimmen. Wird in dem Beschluß über die Ausgabe von Vorzugsaktien, die bei der Verteilung des Gewinns oder des Gesellschaftsvermögens den Vorzugsaktien ohne Stimmrecht vorgehen oder gleichstehen, das Bezugsrecht der Vorzugsaktionäre auf den Bezug solcher Aktien ganz oder zum Teil ausgeschlossen, so gilt für den Sonderbeschluß § 186 Abs. 3 bis 5 sinngemäß.</w:t>
      </w:r>
    </w:p>
    <w:p>
      <w:r>
        <w:t xml:space="preserve">(4) Ist der Vorzug aufgehoben, so gewähren die Aktien das Stimmrecht.</w:t>
      </w:r>
    </w:p>
    <w:p>
      <w:r>
        <w:rPr>
          <w:color w:val="555555"/>
          <w:sz w:val="17"/>
        </w:rPr>
        <w:t xml:space="preserve">Zitiervorschlag: § 141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