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 AktG — Rechte der Vorzugsaktionäre</w:t>
      </w:r>
    </w:p>
    <w:p>
      <w:r>
        <w:rPr>
          <w:color w:val="555555"/>
          <w:sz w:val="18"/>
        </w:rPr>
        <w:t xml:space="preserve">Aktiengesetz</w:t>
      </w:r>
    </w:p>
    <w:p>
      <w:r>
        <w:rPr>
          <w:color w:val="555555"/>
          <w:sz w:val="18"/>
        </w:rPr>
        <w:t xml:space="preserve">Stand: 10.06.2019 (konsolidierte Textfassung, kein amtliches Inkrafttretensdatum)</w:t>
      </w:r>
    </w:p>
    <w:p>
      <w:r>
        <w:t xml:space="preserve">(1) Die Vorzugsaktien ohne Stimmrecht gewähren mit Ausnahme des Stimmrechts die jedem Aktionär aus der Aktie zustehenden Rechte.</w:t>
      </w:r>
    </w:p>
    <w:p>
      <w:r>
        <w:t xml:space="preserve">(2) Ist der Vorzug nachzuzahlen und wird der Vorzugsbetrag in einem Jahr nicht oder nicht vollständig gezahlt und im nächsten Jahr nicht neben dem vollen Vorzug für dieses Jahr nachgezahlt, so haben die Aktionäre das Stimmrecht, bis die Rückstände gezahlt sind. Ist der Vorzug nicht nachzuzahlen und wird der Vorzugsbetrag in einem Jahr nicht oder nicht vollständig gezahlt, so haben die Vorzugsaktionäre das Stimmrecht, bis der Vorzug in einem Jahr vollständig gezahlt ist. Solange das Stimmrecht besteht, sind die Vorzugsaktien auch bei der Berechnung einer nach Gesetz oder Satzung erforderlichen Kapitalmehrheit zu berücksichtigen.</w:t>
      </w:r>
    </w:p>
    <w:p>
      <w:r>
        <w:t xml:space="preserve">(3) Soweit die Satzung nichts anderes bestimmt, entsteht dadurch, dass der nachzuzahlende Vorzugsbetrag in einem Jahr nicht oder nicht vollständig gezahlt wird, noch kein durch spätere Beschlüsse über die Gewinnverteilung bedingter Anspruch auf den rückständigen Vorzugsbetrag.</w:t>
      </w:r>
    </w:p>
    <w:p>
      <w:r>
        <w:rPr>
          <w:color w:val="555555"/>
          <w:sz w:val="17"/>
        </w:rPr>
        <w:t xml:space="preserve">Zitiervorschlag: § 140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