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135a AktG — Mehrstimmrechtsaktien</w:t>
      </w:r>
    </w:p>
    <w:p>
      <w:r>
        <w:rPr>
          <w:color w:val="555555"/>
          <w:sz w:val="18"/>
        </w:rPr>
        <w:t xml:space="preserve">Aktiengesetz</w:t>
      </w:r>
    </w:p>
    <w:p>
      <w:r>
        <w:rPr>
          <w:color w:val="555555"/>
          <w:sz w:val="18"/>
        </w:rPr>
        <w:t xml:space="preserve">Stand: 15.12.2023 (konsolidierte Textfassung, kein amtliches Inkrafttretensdatum)</w:t>
      </w:r>
    </w:p>
    <w:p>
      <w:r>
        <w:t xml:space="preserve">(1) Die Satzung kann Namensaktien mit Mehrstimmrechten vorsehen. Die Mehrstimmrechte dürfen höchstens das Zehnfache des Stimmrechts nach § 134 Absatz 1 Satz 1 betragen. Ein Beschluss der Hauptversammlung zur Ausstattung oder Ausgabe von Aktien mit Mehrstimmrechten bedarf der Zustimmung aller betroffenen Aktionäre.</w:t>
      </w:r>
    </w:p>
    <w:p>
      <w:r>
        <w:t xml:space="preserve">(2) Bei börsennotierten Gesellschaften sowie Gesellschaften, deren Aktien in den Handel im Freiverkehr nach § 48 des Börsengesetzes einbezogen sind, erlöschen die Mehrstimmrechte im Fall der Übertragung der Aktie. Sie erlöschen spätestens zehn Jahre nach Börsennotierung der Gesellschaft oder Einbeziehung der Aktien in den Handel im Freiverkehr, wenn die Satzung keine kürzere Frist vorsieht. Die Frist nach Satz 2 kann in der Satzung um eine bestimmte Frist von bis zu zehn Jahren verlängert werden. Der Beschluss über die Verlängerung darf frühestens ein Jahr vor Ablauf der Frist nach Satz 2 gefasst werden und bedarf einer Mehrheit, die mindestens drei Viertel des bei der Beschlussfassung vertretenen Grundkapitals umfasst. Die Satzung kann eine größere Kapitalmehrheit bestimmen. Sind mehrere Gattungen von stimmberechtigten Aktien vorhanden, so bedarf der Beschluss zu seiner Wirksamkeit der Zustimmung der Aktionäre jeder Gattung. Über die Zustimmung haben die Aktionäre jeder Gattung einen Sonderbeschluss zu fassen. Für diesen gelten die Sätze 4 und 5.</w:t>
      </w:r>
    </w:p>
    <w:p>
      <w:r>
        <w:t xml:space="preserve">(3) Die Satzung kann weitere Erfordernisse aufstellen.</w:t>
      </w:r>
    </w:p>
    <w:p>
      <w:r>
        <w:t xml:space="preserve">(4) Bei Beschlüssen nach § 119 Absatz 1 Nummer 5 sowie § 142 Absatz 1 berechtigen Mehrstimmrechtsaktien zu nur einer Stimme.</w:t>
      </w:r>
    </w:p>
    <w:p>
      <w:r>
        <w:rPr>
          <w:color w:val="555555"/>
          <w:sz w:val="17"/>
        </w:rPr>
        <w:t xml:space="preserve">Zitiervorschlag: § 135a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