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134d AktG — Offenlegungspflichten der Stimmrechtsberater</w:t>
      </w:r>
    </w:p>
    <w:p>
      <w:r>
        <w:rPr>
          <w:color w:val="555555"/>
          <w:sz w:val="18"/>
        </w:rPr>
        <w:t xml:space="preserve">Aktiengesetz</w:t>
      </w:r>
    </w:p>
    <w:p>
      <w:r>
        <w:rPr>
          <w:color w:val="555555"/>
          <w:sz w:val="18"/>
        </w:rPr>
        <w:t xml:space="preserve">Stand: 10.01.2020 (konsolidierte Textfassung, kein amtliches Inkrafttretensdatum)</w:t>
      </w:r>
    </w:p>
    <w:p>
      <w:r>
        <w:t xml:space="preserve">(1) Stimmrechtsberater haben jährlich zu erklären, dass sie den Vorgaben eines näher bezeichneten Verhaltenskodex entsprochen haben und entsprechen oder welche Vorgaben des Verhaltenskodex sie nicht eingehalten haben und einhalten und welche Maßnahmen sie stattdessen getroffen haben. Wenn Stimmrechtsberater keinen Verhaltenskodex einhalten, haben sie zu erklären, warum nicht.</w:t>
      </w:r>
    </w:p>
    <w:p>
      <w:r>
        <w:t xml:space="preserve">(2) Stimmrechtsberater veröffentlichen jährlich Informationen</w:t>
      </w:r>
    </w:p>
    <w:p>
      <w:pPr>
        <w:ind w:left="420"/>
      </w:pPr>
      <w:r>
        <w:t xml:space="preserve">1. zu den wesentlichen Merkmalen der eingesetzten Methoden und Modelle sowie ihren Hauptinformationsquellen,</w:t>
      </w:r>
    </w:p>
    <w:p>
      <w:pPr>
        <w:ind w:left="420"/>
      </w:pPr>
      <w:r>
        <w:t xml:space="preserve">2. zu den zur Qualitätssicherung sowie zur Vermeidung und zur Behandlung von potentiellen Interessenkonflikten eingesetzten Verfahren,</w:t>
      </w:r>
    </w:p>
    <w:p>
      <w:pPr>
        <w:ind w:left="420"/>
      </w:pPr>
      <w:r>
        <w:t xml:space="preserve">3. zur Qualifikation der an der Stimmrechtsberatung beteiligten Mitarbeiter,</w:t>
      </w:r>
    </w:p>
    <w:p>
      <w:pPr>
        <w:ind w:left="420"/>
      </w:pPr>
      <w:r>
        <w:t xml:space="preserve">4. zur Art und Weise, wie nationale Marktbedingungen sowie rechtliche, regulatorische und unternehmensspezifische Bedingungen berücksichtigt werden,</w:t>
      </w:r>
    </w:p>
    <w:p>
      <w:pPr>
        <w:ind w:left="420"/>
      </w:pPr>
      <w:r>
        <w:t xml:space="preserve">5. zu den wesentlichen Merkmalen der verfolgten Stimmrechtspolitik für die einzelnen Märkte,</w:t>
      </w:r>
    </w:p>
    <w:p>
      <w:pPr>
        <w:ind w:left="420"/>
      </w:pPr>
      <w:r>
        <w:t xml:space="preserve">6. dazu, wie und wie oft das Gespräch mit den betroffenen Gesellschaften und deren Interessenträgern gesucht wird.</w:t>
      </w:r>
    </w:p>
    <w:p>
      <w:r>
        <w:t xml:space="preserve">(3) Die Informationen nach den Absätzen 1 und 2 sind gesondert oder gebündelt auf der Internetseite des Stimmrechtsberaters für mindestens drei Jahre öffentlich zugänglich zu machen und jährlich zu aktualisieren.</w:t>
      </w:r>
    </w:p>
    <w:p>
      <w:r>
        <w:t xml:space="preserve">(4) Stimmrechtsberater haben ihre Kunden unverzüglich über Interessenkonflikte sowie über diesbezügliche Gegenmaßnahmen zu informieren.</w:t>
      </w:r>
    </w:p>
    <w:p>
      <w:r>
        <w:rPr>
          <w:color w:val="555555"/>
          <w:sz w:val="17"/>
        </w:rPr>
        <w:t xml:space="preserve">Zitiervorschlag: § 134d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