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134a AktG — Begriffsbestimmungen; Anwendungsbereich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(1) Im Sinne der §§ 134b bis 135 ist</w:t>
      </w:r>
    </w:p>
    <w:p>
      <w:pPr>
        <w:ind w:left="420"/>
      </w:pPr>
      <w:r>
        <w:t xml:space="preserve">1. institutioneller Anleger:</w:t>
      </w:r>
    </w:p>
    <w:p>
      <w:pPr>
        <w:ind w:left="780"/>
      </w:pPr>
      <w:r>
        <w:t xml:space="preserve">a) ein Unternehmen mit Erlaubnis zum Betrieb der Lebensversicherung im Sinne des § 8 Absatz 1 in Verbindung mit Anlage 1 Nummer 19 bis 24 des Versicherungsaufsichtsgesetzes,</w:t>
      </w:r>
    </w:p>
    <w:p>
      <w:pPr>
        <w:ind w:left="780"/>
      </w:pPr>
      <w:r>
        <w:t xml:space="preserve">b) ein Unternehmen mit Erlaubnis zum Betrieb der Rückversicherung im Sinne des § 8 Absatz 1 und 4 des Versicherungsaufsichtsgesetzes, sofern sich diese Tätigkeiten auf Lebensversicherungsverpflichtungen beziehen,</w:t>
      </w:r>
    </w:p>
    <w:p>
      <w:pPr>
        <w:ind w:left="780"/>
      </w:pPr>
      <w:r>
        <w:t xml:space="preserve">c) eine Einrichtung der betrieblichen Altersversorgung gemäß den §§ 232 bis 244d des Versicherungsaufsichtsgesetzes;</w:t>
      </w:r>
    </w:p>
    <w:p>
      <w:pPr>
        <w:ind w:left="420"/>
      </w:pPr>
      <w:r>
        <w:t xml:space="preserve">2. Vermögensverwalter:</w:t>
      </w:r>
    </w:p>
    <w:p>
      <w:pPr>
        <w:ind w:left="780"/>
      </w:pPr>
      <w:r>
        <w:t xml:space="preserve">a) ein Finanzdienstleistungsinstitut mit Erlaubnis zur Erbringung der Finanzportfolioverwaltung im Sinne des § 1 Absatz 1a Satz 2 Nummer 3 des Kreditwesengesetzes,</w:t>
      </w:r>
    </w:p>
    <w:p>
      <w:pPr>
        <w:ind w:left="780"/>
      </w:pPr>
      <w:r>
        <w:t xml:space="preserve">b) ein Wertpapierinstitut mit Erlaubnis zur Erbringung der Finanzportfolioverwaltung im Sinne des § 2 Absatz 2 Nummer 9 des Wertpapierinstitutsgesetzes,</w:t>
      </w:r>
    </w:p>
    <w:p>
      <w:pPr>
        <w:ind w:left="780"/>
      </w:pPr>
      <w:r>
        <w:t xml:space="preserve">c) eine Kapitalverwaltungsgesellschaft mit Erlaubnis gemäß § 20 Absatz 1 des Kapitalanlagegesetzbuchs;</w:t>
      </w:r>
    </w:p>
    <w:p>
      <w:pPr>
        <w:ind w:left="420"/>
      </w:pPr>
      <w:r>
        <w:t xml:space="preserve">3. Stimmrechtsberater:ein Unternehmen, das gewerbsmäßig und entgeltlich Offenlegungen und andere Informationen von börsennotierten Gesellschaften analysiert, um Anleger zu Zwecken der Stimmausübung durch Recherchen, Beratungen oder Stimmempfehlungen zu informieren.</w:t>
      </w:r>
    </w:p>
    <w:p>
      <w:r>
        <w:t xml:space="preserve">(2) Für institutionelle Anleger, Vermögensverwalter und Stimmrechtsberater sind die §§ 134b bis 135 nur anwendbar, soweit sie den folgenden Bestimmungen der Richtlinie 2007/36/EG des Europäischen Parlaments und des Rates vom 11. Juli 2007 über die Ausübung bestimmter Rechte von Aktionären in börsennotierten Gesellschaften (ABl. L 184 vom 14.7.2007, S. 17), die zuletzt durch die Richtlinie (EU) 2017/828 (ABl. L 132 vom 20.5.2017, S. 1) geändert worden ist, unterfallen:</w:t>
      </w:r>
    </w:p>
    <w:p>
      <w:pPr>
        <w:ind w:left="420"/>
      </w:pPr>
      <w:r>
        <w:t xml:space="preserve">1. für institutionelle Anleger: Artikel 1 Absatz 2 Buchstabe a und Absatz 6 Buchstabe a,</w:t>
      </w:r>
    </w:p>
    <w:p>
      <w:pPr>
        <w:ind w:left="420"/>
      </w:pPr>
      <w:r>
        <w:t xml:space="preserve">2. für Vermögensverwalter: Artikel 1 Absatz 2 Buchstabe a und Absatz 6 Buchstabe b, und</w:t>
      </w:r>
    </w:p>
    <w:p>
      <w:pPr>
        <w:ind w:left="420"/>
      </w:pPr>
      <w:r>
        <w:t xml:space="preserve">3. für Stimmrechtsberater: Artikel 1 Absatz 2 Buchstabe b und Absatz 6 Buchstabe c sowie Artikel 3j Absatz 4.</w:t>
      </w:r>
    </w:p>
    <w:p>
      <w:r>
        <w:rPr>
          <w:color w:val="555555"/>
          <w:sz w:val="17"/>
        </w:rPr>
        <w:t xml:space="preserve">Zitiervorschlag: § 134a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https://recht.nulegal.eu/gesetze/AktG/134a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