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133 AktG — Grundsatz der einfachen Stimmenmehrheit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Beschlüsse der Hauptversammlung bedürfen der Mehrheit der abgegebenen Stimmen (einfache Stimmenmehrheit), soweit nicht Gesetz oder Satzung eine größere Mehrheit oder weitere Erfordernisse bestimmen.</w:t>
      </w:r>
    </w:p>
    <w:p>
      <w:r>
        <w:t xml:space="preserve">(2) Für Wahlen kann die Satzung andere Bestimmungen treffen.</w:t>
      </w:r>
    </w:p>
    <w:p>
      <w:r>
        <w:rPr>
          <w:color w:val="555555"/>
          <w:sz w:val="17"/>
        </w:rPr>
        <w:t xml:space="preserve">Zitiervorschlag: § 133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https://recht.nulegal.eu/gesetze/AktG/133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