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 AktG — Wahlvorschläge von Aktionären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Vorschlag eines Aktionärs zur Wahl von Aufsichtsratsmitgliedern oder von Abschlußprüfern gilt § 126 sinngemäß. Der Wahlvorschlag braucht nicht begründet zu werden. Der Vorstand braucht den Wahlvorschlag auch dann nicht zugänglich zu machen, wenn der Vorschlag nicht die Angaben nach § 124 Absatz 3 Satz 4 und § 125 Abs. 1 Satz 5 enthält. Der Vorstand hat den Vorschlag eines Aktionärs zur Wahl von Aufsichtsratsmitgliedern börsennotierter Gesellschaften, für die das Mitbestimmungsgesetz, das Montan-Mitbestimmungsgesetz oder das Mitbestimmungsergänzungsgesetz gilt, mit folgenden Inhalten zu versehen:</w:t>
      </w:r>
    </w:p>
    <w:p>
      <w:pPr>
        <w:ind w:left="420"/>
      </w:pPr>
      <w:r>
        <w:t xml:space="preserve">1. Hinweis auf die Anforderungen des § 96 Absatz 2,</w:t>
      </w:r>
    </w:p>
    <w:p>
      <w:pPr>
        <w:ind w:left="420"/>
      </w:pPr>
      <w:r>
        <w:t xml:space="preserve">2. Angabe, ob der Gesamterfüllung nach § 96 Absatz 2 Satz 3 widersprochen wurde und</w:t>
      </w:r>
    </w:p>
    <w:p>
      <w:pPr>
        <w:ind w:left="420"/>
      </w:pPr>
      <w:r>
        <w:t xml:space="preserve">3. Angabe, wie viele der Sitze im Aufsichtsrat mindestens jeweils von Frauen und Männern besetzt sein müssen, um das Mindestanteilsgebot nach § 96 Absatz 2 Satz 1 zu erfüllen.</w:t>
      </w:r>
    </w:p>
    <w:p>
      <w:r>
        <w:rPr>
          <w:color w:val="555555"/>
          <w:sz w:val="17"/>
        </w:rPr>
        <w:t xml:space="preserve">Zitiervorschlag: § 127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