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AktG — Mitteilungen für die Aktionäre und an Aufsichtsratsmitglieder</w:t>
      </w:r>
    </w:p>
    <w:p>
      <w:r>
        <w:rPr>
          <w:color w:val="555555"/>
          <w:sz w:val="18"/>
        </w:rPr>
        <w:t xml:space="preserve">Aktiengesetz</w:t>
      </w:r>
    </w:p>
    <w:p>
      <w:r>
        <w:rPr>
          <w:color w:val="555555"/>
          <w:sz w:val="18"/>
        </w:rPr>
        <w:t xml:space="preserve">Stand: 10.01.2020 (konsolidierte Textfassung, kein amtliches Inkrafttretensdatum)</w:t>
      </w:r>
    </w:p>
    <w:p>
      <w:r>
        <w:t xml:space="preserve">(1) Der Vorstand einer Gesellschaft, die nicht ausschließlich Namensaktien ausgegeben hat, hat die Einberufung der Hauptversammlung mindestens 21 Tage vor derselben wie folgt mitzuteilen:</w:t>
      </w:r>
    </w:p>
    <w:p>
      <w:pPr>
        <w:ind w:left="420"/>
      </w:pPr>
      <w:r>
        <w:t xml:space="preserve">1. den Intermediären, die Aktien der Gesellschaft verwahren,</w:t>
      </w:r>
    </w:p>
    <w:p>
      <w:pPr>
        <w:ind w:left="420"/>
      </w:pPr>
      <w:r>
        <w:t xml:space="preserve">2. den Aktionären und Intermediären, die die Mitteilung verlangt haben, und</w:t>
      </w:r>
    </w:p>
    <w:p>
      <w:pPr>
        <w:ind w:left="420"/>
      </w:pPr>
      <w:r>
        <w:t xml:space="preserve">3. den Vereinigungen von Aktionären, die die Mitteilung verlangt haben oder die in der letzten Hauptversammlung Stimmrechte ausgeübt haben.</w:t>
      </w:r>
    </w:p>
    <w:p>
      <w:r>
        <w:t xml:space="preserve">Der Tag der Mitteilung ist nicht mitzurechnen. Ist die Tagesordnung nach § 122 Abs. 2 zu ändern, so ist bei börsennotierten Gesellschaften die geänderte Tagesordnung mitzuteilen. In der Mitteilung ist auf die Möglichkeiten der Ausübung des Stimmrechts durch einen Bevollmächtigten, auch durch eine Vereinigung von Aktionären, hinzuweisen. Bei börsennotierten Gesellschaften sind einem Vorschlag zur Wahl von Aufsichtsratsmitgliedern Angaben zu deren Mitgliedschaft in anderen gesetzlich zu bildenden Aufsichtsräten beizufügen; Angaben zu ihrer Mitgliedschaft in vergleichbaren in- und ausländischen Kontrollgremien von Wirtschaftsunternehmen sollen beigefügt werden.</w:t>
      </w:r>
    </w:p>
    <w:p>
      <w:r>
        <w:t xml:space="preserve">(2) Die gleiche Mitteilung hat der Vorstand einer Gesellschaft, die Namensaktien ausgegeben hat, den zu Beginn des 21. Tages vor der Hauptversammlung im Aktienregister Eingetragenen zu machen sowie den Aktionären und Intermediären, die die Mitteilung verlangt haben, und den Vereinigungen von Aktionären, die die Mitteilung verlangt oder die in der letzten Hauptversammlung Stimmrechte ausgeübt haben.</w:t>
      </w:r>
    </w:p>
    <w:p>
      <w:r>
        <w:t xml:space="preserve">(3) Jedes Aufsichtsratsmitglied kann verlangen, daß ihm der Vorstand die gleichen Mitteilungen übersendet.</w:t>
      </w:r>
    </w:p>
    <w:p>
      <w:r>
        <w:t xml:space="preserve">(4) Jedem Aufsichtsratsmitglied und jedem Aktionär sind auf Verlangen die in der Hauptversammlung gefassten Beschlüsse mitzuteilen.</w:t>
      </w:r>
    </w:p>
    <w:p>
      <w:r>
        <w:t xml:space="preserve">(5) Für Inhalt und Format eines Mindestgehaltes an Informationen in den Mitteilungen gemäß Absatz 1 Satz 1 und Absatz 2 gelten die Anforderungen der Durchführungsverordnung (EU) 2018/1212. § 67a Absatz 2 Satz 1 gilt für die Absätze 1 und 2 entsprechend. Bei börsennotierten Gesellschaften sind die Intermediäre, die Aktien der Gesellschaft verwahren, entsprechend den §§ 67a und 67b zur Weiterleitung und Übermittlung der Informationen nach den Absätzen 1 und 2 verpflichtet, es sei denn, dem Intermediär ist bekannt, dass der Aktionär sie von anderer Seite erhält. Das Gleiche gilt für nichtbörsennotierte Gesellschaften mit der Maßgabe, dass die Bestimmungen der Durchführungsverordnung (EU) 2018/1212 nicht anzuwenden sind.</w:t>
      </w:r>
    </w:p>
    <w:p>
      <w:r>
        <w:rPr>
          <w:color w:val="555555"/>
          <w:sz w:val="17"/>
        </w:rPr>
        <w:t xml:space="preserve">Zitiervorschlag: § 125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