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124a AktG — Veröffentlichungen auf der Internetseite der 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Bei börsennotierten Gesellschaften müssen alsbald nach der Einberufung der Hauptversammlung über die Internetseite der Gesellschaft zugänglich sein:</w:t>
      </w:r>
    </w:p>
    <w:p>
      <w:pPr>
        <w:ind w:left="420"/>
      </w:pPr>
      <w:r>
        <w:t xml:space="preserve">1. der Inhalt der Einberufung;</w:t>
      </w:r>
    </w:p>
    <w:p>
      <w:pPr>
        <w:ind w:left="420"/>
      </w:pPr>
      <w:r>
        <w:t xml:space="preserve">2. eine Erläuterung, wenn zu einem Gegenstand der Tagesordnung kein Beschluss gefasst werden soll;</w:t>
      </w:r>
    </w:p>
    <w:p>
      <w:pPr>
        <w:ind w:left="420"/>
      </w:pPr>
      <w:r>
        <w:t xml:space="preserve">3. die der Versammlung zugänglich zu machenden Unterlagen;</w:t>
      </w:r>
    </w:p>
    <w:p>
      <w:pPr>
        <w:ind w:left="420"/>
      </w:pPr>
      <w:r>
        <w:t xml:space="preserve">4. wenn die Hauptversammlung über das Vergütungssystem für die Vorstandsmitglieder, die Vergütung des Aufsichtsrats nach § 113 Absatz 3 oder den Vergütungsbericht beschließen soll, die Unterlagen zu den jeweiligen Beschlussgegenständen; dies gilt auch im Fall des § 120a Absatz 5;</w:t>
      </w:r>
    </w:p>
    <w:p>
      <w:pPr>
        <w:ind w:left="420"/>
      </w:pPr>
      <w:r>
        <w:t xml:space="preserve">5. die Gesamtzahl der Aktien und der Stimmrechte im Zeitpunkt der Einberufung, einschließlich getrennter Angaben zur Gesamtzahl für jede Aktiengattung;</w:t>
      </w:r>
    </w:p>
    <w:p>
      <w:pPr>
        <w:ind w:left="420"/>
      </w:pPr>
      <w:r>
        <w:t xml:space="preserve">6. gegebenenfalls die Formulare, die bei Stimmabgabe durch Vertretung oder bei Stimmabgabe mittels Briefwahl zu verwenden sind, sofern diese Formulare den Aktionären nicht direkt übermittelt werden.</w:t>
      </w:r>
    </w:p>
    <w:p>
      <w:r>
        <w:t xml:space="preserve">Ein nach Einberufung der Versammlung bei der Gesellschaft eingegangenes Verlangen von Aktionären im Sinne von § 122 Abs. 2 ist unverzüglich nach seinem Eingang bei der Gesellschaft in gleicher Weise zugänglich zu machen.</w:t>
      </w:r>
    </w:p>
    <w:p>
      <w:r>
        <w:rPr>
          <w:color w:val="555555"/>
          <w:sz w:val="17"/>
        </w:rPr>
        <w:t xml:space="preserve">Zitiervorschlag: § 124a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