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123 AktG — Frist, Anmeldung zur Hauptversammlung, Nachweis</w:t>
      </w:r>
    </w:p>
    <w:p>
      <w:r>
        <w:rPr>
          <w:color w:val="555555"/>
          <w:sz w:val="18"/>
        </w:rPr>
        <w:t xml:space="preserve">Aktiengesetz</w:t>
      </w:r>
    </w:p>
    <w:p>
      <w:r>
        <w:rPr>
          <w:color w:val="555555"/>
          <w:sz w:val="18"/>
        </w:rPr>
        <w:t xml:space="preserve">Stand: 15.12.2023 (konsolidierte Textfassung, kein amtliches Inkrafttretensdatum)</w:t>
      </w:r>
    </w:p>
    <w:p>
      <w:r>
        <w:t xml:space="preserve">(1) Die Hauptversammlung ist mindestens dreißig Tage vor dem Tage der Versammlung einzuberufen. Der Tag der Einberufung ist nicht mitzurechnen.</w:t>
      </w:r>
    </w:p>
    <w:p>
      <w:r>
        <w:t xml:space="preserve">(2) Die Satzung kann die Teilnahme an der Hauptversammlung oder die Ausübung des Stimmrechts davon abhängig machen, dass die Aktionäre sich vor der Versammlung anmelden. Die Anmeldung muss der Gesellschaft unter der in der Einberufung hierfür mitgeteilten Adresse mindestens sechs Tage vor der Versammlung zugehen. In der Satzung oder in der Einberufung auf Grund einer Ermächtigung durch die Satzung kann eine kürzere, in Tagen zu bemessende Frist vorgesehen werden. Der Tag des Zugangs ist nicht mitzurechnen. Die Mindestfrist des Absatzes 1 verlängert sich um die Tage der Anmeldefrist.</w:t>
      </w:r>
    </w:p>
    <w:p>
      <w:r>
        <w:t xml:space="preserve">(3) Die Satzung kann bestimmen, wie die Berechtigung zur Teilnahme an der Versammlung oder zur Ausübung des Stimmrechts nachzuweisen ist; Absatz 2 Satz 5 gilt in diesem Fall entsprechend.</w:t>
      </w:r>
    </w:p>
    <w:p>
      <w:r>
        <w:t xml:space="preserve">(4) Bei Inhaberaktien börsennotierter Gesellschaften reicht ein Nachweis gemäß § 67c Absatz 3 aus. Der Nachweis des Anteilsbesitzes nach § 67c Absatz 3 hat sich bei börsennotierten Gesellschaften auf den Geschäftsschluss des 22. Tages vor der Versammlung zu beziehen und muss der Gesellschaft unter der in der Einberufung hierfür mitgeteilten Adresse mindestens sechs Tage vor der Versammlung zugehen. In der Satzung oder in der Einberufung auf Grund einer Ermächtigung durch die Satzung kann eine kürzere, in Tagen zu bemessende Frist vorgesehen werden. Der Tag des Zugangs ist nicht mitzurechnen. Im Verhältnis zur Gesellschaft gilt für die Teilnahme an der Versammlung oder für die Ausübung des Stimmrechts als Aktionär nur, wer den Nachweis erbracht hat.</w:t>
      </w:r>
    </w:p>
    <w:p>
      <w:r>
        <w:t xml:space="preserve">(5) Bei Namensaktien börsennotierter Gesellschaften folgt die Berechtigung zur Teilnahme an der Versammlung oder zur Ausübung des Stimmrechts gemäß § 67 Absatz 2 Satz 1 aus der Eintragung im Aktienregister.</w:t>
      </w:r>
    </w:p>
    <w:p>
      <w:r>
        <w:rPr>
          <w:color w:val="555555"/>
          <w:sz w:val="17"/>
        </w:rPr>
        <w:t xml:space="preserve">Zitiervorschlag: § 123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