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AktG — Entlastung</w:t>
      </w:r>
    </w:p>
    <w:p>
      <w:r>
        <w:rPr>
          <w:color w:val="555555"/>
          <w:sz w:val="18"/>
        </w:rPr>
        <w:t xml:space="preserve">Aktiengesetz</w:t>
      </w:r>
    </w:p>
    <w:p>
      <w:r>
        <w:rPr>
          <w:color w:val="555555"/>
          <w:sz w:val="18"/>
        </w:rPr>
        <w:t xml:space="preserve">Stand: 10.01.2020 (konsolidierte Textfassung, kein amtliches Inkrafttretensdatum)</w:t>
      </w:r>
    </w:p>
    <w:p>
      <w:r>
        <w:t xml:space="preserve">(1) Die Hauptversammlung beschließt alljährlich in den ersten acht Monaten des Geschäftsjahrs über die Entlastung der Mitglieder des Vorstands und über die Entlastung der Mitglieder des Aufsichtsrats. Über die Entlastung eines einzelnen Mitglieds ist gesondert abzustimmen, wenn die Hauptversammlung es beschließt oder eine Minderheit es verlangt, deren Anteile zusammen den zehnten Teil des Grundkapitals oder den anteiligen Betrag von einer Million Euro erreichen.</w:t>
      </w:r>
    </w:p>
    <w:p>
      <w:r>
        <w:t xml:space="preserve">(2) Durch die Entlastung billigt die Hauptversammlung die Verwaltung der Gesellschaft durch die Mitglieder des Vorstands und des Aufsichtsrats. Die Entlastung enthält keinen Verzicht auf Ersatzansprüche.</w:t>
      </w:r>
    </w:p>
    <w:p>
      <w:r>
        <w:t xml:space="preserve">(3) Die Verhandlung über die Entlastung soll mit der Verhandlung über die Verwendung des Bilanzgewinns verbunden werden.</w:t>
      </w:r>
    </w:p>
    <w:p>
      <w:r>
        <w:t xml:space="preserve">(4) (weggefallen)</w:t>
      </w:r>
    </w:p>
    <w:p>
      <w:r>
        <w:rPr>
          <w:color w:val="555555"/>
          <w:sz w:val="17"/>
        </w:rPr>
        <w:t xml:space="preserve">Zitiervorschlag: § 120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