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AktG — Stimmrecht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15.12.2023 (konsolidierte Textfassung, kein amtliches Inkrafttretensdatum)</w:t>
      </w:r>
    </w:p>
    <w:p>
      <w:r>
        <w:t xml:space="preserve">Jede Aktie gewährt das Stimmrecht. Nach den Vorschriften dieses Gesetzes können Mehrstimmrechtsaktien sowie Vorzugsaktien als Aktien ohne Stimmrecht ausgegeben werden.</w:t>
      </w:r>
    </w:p>
    <w:p>
      <w:r>
        <w:rPr>
          <w:color w:val="555555"/>
          <w:sz w:val="17"/>
        </w:rPr>
        <w:t xml:space="preserve">Zitiervorschlag: § 12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