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118a AktG — Virtuelle Hauptversammlung</w:t>
      </w:r>
    </w:p>
    <w:p>
      <w:r>
        <w:rPr>
          <w:color w:val="555555"/>
          <w:sz w:val="18"/>
        </w:rPr>
        <w:t xml:space="preserve">Aktiengesetz</w:t>
      </w:r>
    </w:p>
    <w:p>
      <w:r>
        <w:rPr>
          <w:color w:val="555555"/>
          <w:sz w:val="18"/>
        </w:rPr>
        <w:t xml:space="preserve">Stand: 28.07.2022 (konsolidierte Textfassung, kein amtliches Inkrafttretensdatum)</w:t>
      </w:r>
    </w:p>
    <w:p>
      <w:r>
        <w:t xml:space="preserve">(1) Die Satzung kann vorsehen oder den Vorstand dazu ermächtigen, vorzusehen, dass die Versammlung ohne physische Präsenz der Aktionäre oder ihrer Bevollmächtigten am Ort der Hauptversammlung abgehalten wird (virtuelle Hauptversammlung). Wird eine virtuelle Hauptversammlung abgehalten, sind die folgenden Voraussetzungen einzuhalten:</w:t>
      </w:r>
    </w:p>
    <w:p>
      <w:pPr>
        <w:ind w:left="420"/>
      </w:pPr>
      <w:r>
        <w:t xml:space="preserve">1. die gesamte Versammlung wird mit Bild und Ton übertragen,</w:t>
      </w:r>
    </w:p>
    <w:p>
      <w:pPr>
        <w:ind w:left="420"/>
      </w:pPr>
      <w:r>
        <w:t xml:space="preserve">2. die Stimmrechtsausübung der Aktionäre ist im Wege elektronischer Kommunikation, namentlich über elektronische Teilnahme oder elektronische Briefwahl, sowie über Vollmachtserteilung möglich,</w:t>
      </w:r>
    </w:p>
    <w:p>
      <w:pPr>
        <w:ind w:left="420"/>
      </w:pPr>
      <w:r>
        <w:t xml:space="preserve">3. den elektronisch zu der Versammlung zugeschalteten Aktionären wird das Recht eingeräumt, Anträge und Wahlvorschläge im Wege der Videokommunikation in der Versammlung zu stellen,</w:t>
      </w:r>
    </w:p>
    <w:p>
      <w:pPr>
        <w:ind w:left="420"/>
      </w:pPr>
      <w:r>
        <w:t xml:space="preserve">4. den Aktionären wird ein Auskunftsrecht nach § 131 im Wege elektronischer Kommunikation eingeräumt,</w:t>
      </w:r>
    </w:p>
    <w:p>
      <w:pPr>
        <w:ind w:left="420"/>
      </w:pPr>
      <w:r>
        <w:t xml:space="preserve">5. den Aktionären wird, sofern der Vorstand von der Möglichkeit des § 131 Absatz 1a Satz 1 Gebrauch macht, der Bericht des Vorstands oder dessen wesentlicher Inhalt bis spätestens sieben Tage vor der Versammlung zugänglich gemacht,</w:t>
      </w:r>
    </w:p>
    <w:p>
      <w:pPr>
        <w:ind w:left="420"/>
      </w:pPr>
      <w:r>
        <w:t xml:space="preserve">6. den Aktionären wird das Recht eingeräumt, Stellungnahmen nach § 130a Absatz 1 bis 4 im Wege elektronischer Kommunikation einzureichen,</w:t>
      </w:r>
    </w:p>
    <w:p>
      <w:pPr>
        <w:ind w:left="420"/>
      </w:pPr>
      <w:r>
        <w:t xml:space="preserve">7. den elektronisch zu der Versammlung zugeschalteten Aktionären wird ein Rederecht in der Versammlung im Wege der Videokommunikation nach § 130a Absatz 5 und 6 eingeräumt,</w:t>
      </w:r>
    </w:p>
    <w:p>
      <w:pPr>
        <w:ind w:left="420"/>
      </w:pPr>
      <w:r>
        <w:t xml:space="preserve">8. den elektronisch zu der Versammlung zugeschalteten Aktionären wird ein Recht zum Widerspruch gegen einen Beschluss der Hauptversammlung im Wege elektronischer Kommunikation eingeräumt.</w:t>
      </w:r>
    </w:p>
    <w:p>
      <w:r>
        <w:t xml:space="preserve">Für die Fristberechnung nach Satz 2 Nummer 5 gilt § 121 Absatz 7; bei börsennotierten Gesellschaften hat das Zugänglichmachen über die Internetseite der Gesellschaft zu erfolgen. § 118 Absatz 1 Satz 3 und 4 sowie § 67a Absatz 2 Satz 1 und Absatz 3 gelten entsprechend.</w:t>
      </w:r>
    </w:p>
    <w:p>
      <w:r>
        <w:t xml:space="preserve">(2) Die Mitglieder des Vorstands sollen am Ort der Hauptversammlung teilnehmen. Gleiches gilt für die Mitglieder des Aufsichtsrats, sofern deren Teilnahme nicht nach § 118 Absatz 3 Satz 2 im Wege der Bild- und Tonübertragung erfolgen darf. Der Versammlungsleiter und in den Fällen des § 176 Absatz 2 Satz 1 und 2 der Abschlussprüfer haben am Ort der Hauptversammlung teilzunehmen. Ein von der Gesellschaft nach § 134 Absatz 3 Satz 5 benannter Stimmrechtsvertreter kann am Ort der Hauptversammlung teilnehmen.</w:t>
      </w:r>
    </w:p>
    <w:p>
      <w:r>
        <w:t xml:space="preserve">(3) Eine Bestimmung in der Satzung nach Absatz 1 Satz 1, die die Abhaltung virtueller Hauptversammlungen vorsieht, muss befristet werden. Die Abhaltung virtueller Hauptversammlungen darf in einer solchen Bestimmung für einen Zeitraum von längstens fünf Jahren nach Eintragung der Gesellschaft vorgesehen werden.</w:t>
      </w:r>
    </w:p>
    <w:p>
      <w:r>
        <w:t xml:space="preserve">(4) Eine Ermächtigung des Vorstands durch die Satzung nach Absatz 1 Satz 1, die Abhaltung virtueller Hauptversammlungen vorzusehen, muss befristet werden. Sie kann für einen Zeitraum von längstens fünf Jahren nach Eintragung der Gesellschaft erteilt werden.</w:t>
      </w:r>
    </w:p>
    <w:p>
      <w:r>
        <w:t xml:space="preserve">(5) Werden nach Absatz 1 Satz 1 getroffene Bestimmungen oder Ermächtigungen durch Satzungsänderung geschaffen,</w:t>
      </w:r>
    </w:p>
    <w:p>
      <w:pPr>
        <w:ind w:left="420"/>
      </w:pPr>
      <w:r>
        <w:t xml:space="preserve">1. darf die Bestimmung die Abhaltung virtueller Hauptversammlungen bis zu einem Zeitraum von längstens fünf Jahren nach Eintragung der Satzungsänderung vorsehen und</w:t>
      </w:r>
    </w:p>
    <w:p>
      <w:pPr>
        <w:ind w:left="420"/>
      </w:pPr>
      <w:r>
        <w:t xml:space="preserve">2. kann die Ermächtigung des Vorstands für einen Zeitraum von längstens fünf Jahren nach Eintragung der Satzungsänderung erteilt werden.</w:t>
      </w:r>
    </w:p>
    <w:p>
      <w:r>
        <w:t xml:space="preserve">(6) Bestimmt dieses oder ein anderes Gesetz, dass Unterlagen in der Hauptversammlung zugänglich zu machen sind, so sind die Unterlagen den der Hauptversammlung elektronisch zugeschalteten Aktionären während des Zeitraums der Versammlung über die Internetseite der Gesellschaft oder eine über diese zugängliche Internetseite eines Dritten zugänglich zu machen.</w:t>
      </w:r>
    </w:p>
    <w:p>
      <w:r>
        <w:rPr>
          <w:color w:val="555555"/>
          <w:sz w:val="17"/>
        </w:rPr>
        <w:t xml:space="preserve">Zitiervorschlag: § 118a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