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118 AktG — Allgemeines</w:t>
      </w:r>
    </w:p>
    <w:p>
      <w:r>
        <w:rPr>
          <w:color w:val="555555"/>
          <w:sz w:val="18"/>
        </w:rPr>
        <w:t xml:space="preserve">Aktiengesetz</w:t>
      </w:r>
    </w:p>
    <w:p>
      <w:r>
        <w:rPr>
          <w:color w:val="555555"/>
          <w:sz w:val="18"/>
        </w:rPr>
        <w:t xml:space="preserve">Stand: 10.01.2020 (konsolidierte Textfassung, kein amtliches Inkrafttretensdatum)</w:t>
      </w:r>
    </w:p>
    <w:p>
      <w:r>
        <w:t xml:space="preserve">(1) Die Aktionäre üben ihre Rechte in den Angelegenheiten der Gesellschaft in der Hauptversammlung aus, soweit das Gesetz nichts anderes bestimmt. Die Satzung kann vorsehen oder den Vorstand dazu ermächtigen vorzusehen, dass die Aktionäre an der Hauptversammlung auch ohne Anwesenheit an deren Ort und ohne einen Bevollmächtigten teilnehmen und sämtliche oder einzelne ihrer Rechte ganz oder teilweise im Wege elektronischer Kommunikation ausüben können. Bei elektronischer Ausübung des Stimmrechts ist dem Abgebenden der Zugang der elektronisch abgegebenen Stimme nach den Anforderungen gemäß Artikel 7 Absatz 1 und Artikel 9 Absatz 5 Unterabsatz 1 der Durchführungsverordnung (EU) 2018/1212 von der Gesellschaft elektronisch zu bestätigen. Sofern die Bestätigung einem Intermediär erteilt wird, hat dieser die Bestätigung unverzüglich dem Aktionär zu übermitteln. § 67a Absatz 2 Satz 1 und Absatz 3 gilt entsprechend.</w:t>
      </w:r>
    </w:p>
    <w:p>
      <w:r>
        <w:t xml:space="preserve">(2) Die Satzung kann vorsehen oder den Vorstand dazu ermächtigen vorzusehen, dass Aktionäre ihre Stimmen, auch ohne an der Versammlung teilzunehmen, schriftlich oder im Wege elektronischer Kommunikation abgeben dürfen (Briefwahl). Absatz 1 Satz 3 bis 5 gilt entsprechend.</w:t>
      </w:r>
    </w:p>
    <w:p>
      <w:r>
        <w:t xml:space="preserve">(3) Die Mitglieder des Vorstands und des Aufsichtsrats sollen an der Hauptversammlung teilnehmen. Die Satzung kann jedoch bestimmte Fälle vorsehen, in denen die Teilnahme von Mitgliedern des Aufsichtsrats im Wege der Bild- und Tonübertragung erfolgen darf.</w:t>
      </w:r>
    </w:p>
    <w:p>
      <w:r>
        <w:t xml:space="preserve">(4) Die Satzung oder die Geschäftsordnung gemäß § 129 Abs. 1 kann vorsehen oder den Vorstand oder den Versammlungsleiter dazu ermächtigen vorzusehen, die Bild- und Tonübertragung der Versammlung zuzulassen.</w:t>
      </w:r>
    </w:p>
    <w:p>
      <w:r>
        <w:rPr>
          <w:color w:val="555555"/>
          <w:sz w:val="17"/>
        </w:rPr>
        <w:t xml:space="preserve">Zitiervorschlag: § 118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