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AktG — Sorgfaltspflicht und Verantwortlichkeit der Aufsichtsratsmitglieder</w:t>
      </w:r>
    </w:p>
    <w:p>
      <w:r>
        <w:rPr>
          <w:color w:val="555555"/>
          <w:sz w:val="18"/>
        </w:rPr>
        <w:t xml:space="preserve">Aktiengesetz</w:t>
      </w:r>
    </w:p>
    <w:p>
      <w:r>
        <w:rPr>
          <w:color w:val="555555"/>
          <w:sz w:val="18"/>
        </w:rPr>
        <w:t xml:space="preserve">Stand: 01.01.2021 (konsolidierte Textfassung, kein amtliches Inkrafttretensdatum)</w:t>
      </w:r>
    </w:p>
    <w:p>
      <w:r>
        <w:t xml:space="preserve">Für die Sorgfaltspflicht und Verantwortlichkeit der Aufsichtsratsmitglieder gelten § 93 mit Ausnahme des Absatzes 2 Satz 3 über die Sorgfaltspflicht und Verantwortlichkeit der Vorstandsmitglieder und § 15b der Insolvenzordnung sinngemäß. Die Aufsichtsratsmitglieder sind insbesondere zur Verschwiegenheit über erhaltene vertrauliche Berichte und vertrauliche Beratungen verpflichtet. Sie sind namentlich zum Ersatz verpflichtet, wenn sie eine unangemessene Vergütung festsetzen (§ 87 Absatz 1).</w:t>
      </w:r>
    </w:p>
    <w:p>
      <w:r>
        <w:rPr>
          <w:color w:val="555555"/>
          <w:sz w:val="17"/>
        </w:rPr>
        <w:t xml:space="preserve">Zitiervorschlag: § 116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