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AktG — Vergütung der Aufsichtsratsmitglieder</w:t>
      </w:r>
    </w:p>
    <w:p>
      <w:r>
        <w:rPr>
          <w:color w:val="555555"/>
          <w:sz w:val="18"/>
        </w:rPr>
        <w:t xml:space="preserve">Aktiengesetz</w:t>
      </w:r>
    </w:p>
    <w:p>
      <w:r>
        <w:rPr>
          <w:color w:val="555555"/>
          <w:sz w:val="18"/>
        </w:rPr>
        <w:t xml:space="preserve">Stand: 10.01.2020 (konsolidierte Textfassung, kein amtliches Inkrafttretensdatum)</w:t>
      </w:r>
    </w:p>
    <w:p>
      <w:r>
        <w:t xml:space="preserve">(1) Den Aufsichtsratsmitgliedern kann für ihre Tätigkeit eine Vergütung gewährt werden. Sie kann in der Satzung festgesetzt oder von der Hauptversammlung bewilligt werden. Sie soll in einem angemessenen Verhältnis zu den Aufgaben der Aufsichtsratsmitglieder und zur Lage der Gesellschaft stehen.</w:t>
      </w:r>
    </w:p>
    <w:p>
      <w:r>
        <w:t xml:space="preserve">(2) Den Mitgliedern des ersten Aufsichtsrats kann nur die Hauptversammlung eine Vergütung für ihre Tätigkeit bewilligen. Der Beschluß kann erst in der Hauptversammlung gefaßt werden, die über die Entlastung der Mitglieder des ersten Aufsichtsrats beschließt.</w:t>
      </w:r>
    </w:p>
    <w:p>
      <w:r>
        <w:t xml:space="preserve">(3) Bei börsennotierten Gesellschaften ist mindestens alle vier Jahre über die Vergütung der Aufsichtsratsmitglieder Beschluss zu fassen. Ein die Vergütung bestätigender Beschluss ist zulässig; im Übrigen gilt Absatz 1 Satz 2. In dem Beschluss sind die nach § 87a Absatz 1 Satz 2 erforderlichen Angaben sinngemäß und in klarer und verständlicher Form zu machen oder in Bezug zu nehmen. Die Angaben können in der Satzung unterbleiben, wenn die Vergütung in der Satzung festgesetzt wird. Der Beschluss ist wegen eines Verstoßes gegen Satz 3 nicht anfechtbar. § 120a Absatz 2 und 3 ist sinngemäß anzuwenden.</w:t>
      </w:r>
    </w:p>
    <w:p>
      <w:r>
        <w:rPr>
          <w:color w:val="555555"/>
          <w:sz w:val="17"/>
        </w:rPr>
        <w:t xml:space="preserve">Zitiervorschlag: § 113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