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AktG — Aktien und Zwischenscheine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15.12.2023 (konsolidierte Textfassung, kein amtliches Inkrafttretensdatum)</w:t>
      </w:r>
    </w:p>
    <w:p>
      <w:r>
        <w:t xml:space="preserve">(1) Die Aktien lauten auf Namen. Sie können auf den Inhaber lauten, wenn</w:t>
      </w:r>
    </w:p>
    <w:p>
      <w:pPr>
        <w:ind w:left="420"/>
      </w:pPr>
      <w:r>
        <w:t xml:space="preserve">1. die Gesellschaft börsennotiert ist oder</w:t>
      </w:r>
    </w:p>
    <w:p>
      <w:pPr>
        <w:ind w:left="420"/>
      </w:pPr>
      <w:r>
        <w:t xml:space="preserve">2. der Anspruch auf Einzelverbriefung ausgeschlossen ist und die Sammelurkunde bei einer der folgenden Stellen hinterlegt wird:</w:t>
      </w:r>
    </w:p>
    <w:p>
      <w:pPr>
        <w:ind w:left="780"/>
      </w:pPr>
      <w:r>
        <w:t xml:space="preserve">a) einer Wertpapiersammelbank im Sinne des § 1 Absatz 3 Satz 1 des Depotgesetzes,</w:t>
      </w:r>
    </w:p>
    <w:p>
      <w:pPr>
        <w:ind w:left="780"/>
      </w:pPr>
      <w:r>
        <w:t xml:space="preserve">b) einem zugelassenen Zentralverwahrer oder einem anerkannten Drittland-Zentralverwahrer gemäß der Verordnung (EU) Nr. 909/2014 des Europäischen Parlaments und des Rates vom 23. Juli 2014 zur Verbesserung der Wertpapierlieferungen und -abrechnungen in der Europäischen Union und über Zentralverwahrer sowie zur Änderung der Richtlinien 98/26/EG und 2014/65/EU und der Verordnung (EU) Nr. 236/2012 (ABl. L 257 vom 28.8.2014, S. 1) oder</w:t>
      </w:r>
    </w:p>
    <w:p>
      <w:pPr>
        <w:ind w:left="780"/>
      </w:pPr>
      <w:r>
        <w:t xml:space="preserve">c) einem sonstigen ausländischen Verwahrer, der die Voraussetzungen des § 5 Absatz 4 Satz 1 des Depotgesetzes erfüllt, oder</w:t>
      </w:r>
    </w:p>
    <w:p>
      <w:pPr>
        <w:ind w:left="420"/>
      </w:pPr>
      <w:r>
        <w:t xml:space="preserve">3. die Verbriefung ausgeschlossen ist und die Aktie in einem zentralen Wertpapierregister gemäß § 12 des Gesetzes über elektronische Wertpapiere eingetragen wird.</w:t>
      </w:r>
    </w:p>
    <w:p>
      <w:r>
        <w:t xml:space="preserve">Solange im Fall des Satzes 2 Nummer 2 die Sammelurkunde nicht hinterlegt ist, ist § 67 entsprechend anzuwenden.</w:t>
      </w:r>
    </w:p>
    <w:p>
      <w:r>
        <w:t xml:space="preserve">(2) Die Aktien müssen auf Namen lauten, wenn sie vor der vollen Leistung des Ausgabebetrags ausgegeben werden. Der Betrag der Teilleistungen ist in der Aktie anzugeben.</w:t>
      </w:r>
    </w:p>
    <w:p>
      <w:r>
        <w:t xml:space="preserve">(3) Zwischenscheine müssen auf Namen lauten.</w:t>
      </w:r>
    </w:p>
    <w:p>
      <w:r>
        <w:t xml:space="preserve">(4) Zwischenscheine auf den Inhaber sind nichtig. Für den Schaden aus der Ausgabe sind die Ausgeber den Inhabern als Gesamtschuldner verantwortlich.</w:t>
      </w:r>
    </w:p>
    <w:p>
      <w:r>
        <w:t xml:space="preserve">(5) In der Satzung kann der Anspruch des Aktionärs auf Verbriefung seines Anteils ausgeschlossen oder eingeschränkt werden.</w:t>
      </w:r>
    </w:p>
    <w:p>
      <w:r>
        <w:t xml:space="preserve">(6) In der Satzung ist die Verbriefung für solche Aktien auszuschließen, die als elektronische Aktien in einem elektronischen Wertpapierregister eingetragen werden. Die Eintragung in ein Kryptowertpapierregister gemäß § 16 des Gesetzes über elektronische Wertpapiere ist nur zulässig, wenn dies in der Satzung ausdrücklich zugelassen ist.</w:t>
      </w:r>
    </w:p>
    <w:p>
      <w:r>
        <w:rPr>
          <w:color w:val="555555"/>
          <w:sz w:val="17"/>
        </w:rPr>
        <w:t xml:space="preserve">Zitiervorschlag: § 10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