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AktG — Wesen der Aktiengesellschaft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Aktiengesellschaft ist eine Gesellschaft mit eigener Rechtspersönlichkeit. Für die Verbindlichkeiten der Gesellschaft haftet den Gläubigern nur das Gesellschaftsvermögen.</w:t>
      </w:r>
    </w:p>
    <w:p>
      <w:r>
        <w:t xml:space="preserve">(2) Die Aktiengesellschaft hat ein in Aktien zerlegtes Grundkapital.</w:t>
      </w:r>
    </w:p>
    <w:p>
      <w:r>
        <w:rPr>
          <w:color w:val="555555"/>
          <w:sz w:val="17"/>
        </w:rPr>
        <w:t xml:space="preserve">Zitiervorschlag: § 1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