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AktFoV — Einsichtnahme</w:t>
      </w:r>
    </w:p>
    <w:p>
      <w:r>
        <w:rPr>
          <w:color w:val="555555"/>
          <w:sz w:val="18"/>
        </w:rPr>
        <w:t xml:space="preserve">Aktionärsforumsverordnung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Jedermann kann das Aktionärsforum jederzeit und ohne vorherige Registrierung kostenfrei einsehen. Die Einsichtnahme erfolgt ausschließlich über das Internet.</w:t>
      </w:r>
    </w:p>
    <w:p>
      <w:r>
        <w:t xml:space="preserve">(2) Die Vorschriften der Barrierefreie Informationstechnik-Verordnung vom 17. Juli 2002 (BGBl. I S. 2654) über die Gestaltung der Einsichtnahme sind in der jeweils geltenden Fassung vom Betreiber sinngemäß anzuwenden.</w:t>
      </w:r>
    </w:p>
    <w:p>
      <w:r>
        <w:rPr>
          <w:color w:val="555555"/>
          <w:sz w:val="17"/>
        </w:rPr>
        <w:t xml:space="preserve">Zitiervorschlag: § 7 AktFoV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https://recht.nulegal.eu/gesetze/AktFoV/7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