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AktFoV — Inhalt und Aufbau des Aktionärsforums</w:t>
      </w:r>
    </w:p>
    <w:p>
      <w:r>
        <w:rPr>
          <w:color w:val="555555"/>
          <w:sz w:val="18"/>
        </w:rPr>
        <w:t xml:space="preserve">Aktionärsforumsverordnung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Eintragungen sollen nach Gesellschaften in alphabetischer Reihenfolge geordnet sein und innerhalb der Gesellschaften in zeitlicher Abfolge dargestellt werden.</w:t>
      </w:r>
    </w:p>
    <w:p>
      <w:r>
        <w:t xml:space="preserve">(2) Innerhalb des Aktionärsforums kann im Volltext der Eintragungen oder unter Verwendung zumindest folgender Suchmerkmale gesucht werden:</w:t>
      </w:r>
    </w:p>
    <w:p>
      <w:pPr>
        <w:ind w:left="420"/>
      </w:pPr>
      <w:r>
        <w:t xml:space="preserve">1. Firma und Firmenteile,</w:t>
      </w:r>
    </w:p>
    <w:p>
      <w:pPr>
        <w:ind w:left="420"/>
      </w:pPr>
      <w:r>
        <w:t xml:space="preserve">2. Wertpapierkennnummer (WKN), International Securities Identification Number (ISIN) oder</w:t>
      </w:r>
    </w:p>
    <w:p>
      <w:pPr>
        <w:ind w:left="420"/>
      </w:pPr>
      <w:r>
        <w:t xml:space="preserve">3. Handelsregisternummer.</w:t>
      </w:r>
    </w:p>
    <w:p>
      <w:r>
        <w:t xml:space="preserve">(3) Die Benutzeroberfläche ist in deutscher Sprache gefasst. Eine Fassung in englischer Sprache soll vorhanden sein.</w:t>
      </w:r>
    </w:p>
    <w:p>
      <w:r>
        <w:t xml:space="preserve">(4) Der Betreiber kann im Aktionärsforum einen Hinweis auf seine Allgemeinen Geschäftsbedingungen anbringen. Er kann zudem im Aktionärsforum eine zusätzliche Dienstleistung anbieten, mit der über veröffentlichte Eintragungen automatisiert unterrichtet wird.</w:t>
      </w:r>
    </w:p>
    <w:p>
      <w:r>
        <w:rPr>
          <w:color w:val="555555"/>
          <w:sz w:val="17"/>
        </w:rPr>
        <w:t xml:space="preserve">Zitiervorschlag: § 2 AktFoV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https://recht.nulegal.eu/gesetze/AktFoV/2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