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AktFoV — Einrichtung des Aktionärsforums</w:t>
      </w:r>
    </w:p>
    <w:p>
      <w:r>
        <w:rPr>
          <w:color w:val="555555"/>
          <w:sz w:val="18"/>
        </w:rPr>
        <w:t xml:space="preserve">Aktionärsforumsverordnung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Aktionärsforum ist Teil des Bundesanzeigers und ist jedenfalls über die Internetseiten</w:t>
      </w:r>
    </w:p>
    <w:p>
      <w:r>
        <w:rPr>
          <w:rFonts w:ascii="Courier New" w:hAnsi="Courier New"/>
          <w:sz w:val="17"/>
        </w:rPr>
        <w:t xml:space="preserve">www.bundesanzeiger.de,www.unternehmensregister.de undwww.aktionaersforum.de</w:t>
      </w:r>
    </w:p>
    <w:p>
      <w:r>
        <w:t xml:space="preserve">erreichbar.</w:t>
      </w:r>
    </w:p>
    <w:p>
      <w:r>
        <w:t xml:space="preserve">(2) Das Aktionärsforum ist so zu gestalten, dass Aktionäre, Aktionärsvereinigungen und Gesellschaften (Eintragende) die Aufforderungen und Hinweise auf Stellungnahmen nach § 127a des Aktiengesetzes (Eintragungen) nur über eine im Aktionärsforum zur Verfügung gestellte Formularmaske elektronisch eintragen können. Eintragungen sind in Deutsch oder Englisch abzufassen.</w:t>
      </w:r>
    </w:p>
    <w:p>
      <w:r>
        <w:rPr>
          <w:color w:val="555555"/>
          <w:sz w:val="17"/>
        </w:rPr>
        <w:t xml:space="preserve">Zitiervorschlag: § 1 AktFoV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https://recht.nulegal.eu/gesetze/AktFoV/1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