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AkkStelleGebV — Inkrafttreten, Außerkrafttreten</w:t>
      </w:r>
    </w:p>
    <w:p>
      <w:r>
        <w:rPr>
          <w:color w:val="555555"/>
          <w:sz w:val="18"/>
        </w:rPr>
        <w:t xml:space="preserve">Akkreditierungsstellengebührenverordnung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ersten Tag des siebten auf die Verkündung folgenden Kalendermonats in Kraft.</w:t>
      </w:r>
    </w:p>
    <w:p>
      <w:r>
        <w:t xml:space="preserve">(2) Gleichzeitig tritt die Kostenverordnung der Akkreditierungsstelle vom 21. Dezember 2009 (BGBl. I S. 3964), die durch Artikel 2 Absatz 107 des Gesetzes vom 7. August 2013 (BGBl. I S. 3154) geändert worden ist, außer Kraft.</w:t>
      </w:r>
    </w:p>
    <w:p>
      <w:r>
        <w:rPr>
          <w:color w:val="555555"/>
          <w:sz w:val="17"/>
        </w:rPr>
        <w:t xml:space="preserve">Zitiervorschlag: § 7 AkkStelleGebV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https://recht.nulegal.eu/gesetze/AkkStelleGebV/7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