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AkkStelleGebV — Gebührenberechnung</w:t>
      </w:r>
    </w:p>
    <w:p>
      <w:r>
        <w:rPr>
          <w:color w:val="555555"/>
          <w:sz w:val="18"/>
        </w:rPr>
        <w:t xml:space="preserve">Akkreditierungsstellengebührenverordnung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individuell zurechenbare öffentliche Leistung wird nach Zeitgebühr abgerechnet. Die Zeitgebühr ist durch Multiplikation des Stundensatzes nach Tarifstelle 7 der Anlage mit dem Zeitaufwand für die Durchführung der jeweiligen individuell zurechenbaren öffentlichen Leistung zu berechnen. Die Zeitgebühr ist für jede die Leistung durchführende Person zu erheben.</w:t>
      </w:r>
    </w:p>
    <w:p>
      <w:r>
        <w:t xml:space="preserve">(2) Bei der Abrechnung sind alle mit der Erbringung der individuell zurechenbaren öffentlichen Leistung in Zusammenhang stehenden Zeiten zu berücksichtigen, insbesondere für</w:t>
      </w:r>
    </w:p>
    <w:p>
      <w:pPr>
        <w:ind w:left="420"/>
      </w:pPr>
      <w:r>
        <w:t xml:space="preserve">1. erforderliche Wartezeiten von Bediensteten der Akkreditierungsstelle, sofern der Gebührenschuldner diese zu vertreten hat,</w:t>
      </w:r>
    </w:p>
    <w:p>
      <w:pPr>
        <w:ind w:left="420"/>
      </w:pPr>
      <w:r>
        <w:t xml:space="preserve">2. erforderliche Reisezeiten von Bediensteten der Akkreditierungsstelle innerhalb ihrer regelmäßigen Arbeitszeit,</w:t>
      </w:r>
    </w:p>
    <w:p>
      <w:pPr>
        <w:ind w:left="420"/>
      </w:pPr>
      <w:r>
        <w:t xml:space="preserve">3. Rückfragen im Rahmen der Erbringung der individuell zurechenbaren öffentlichen Leistung,</w:t>
      </w:r>
    </w:p>
    <w:p>
      <w:pPr>
        <w:ind w:left="420"/>
      </w:pPr>
      <w:r>
        <w:t xml:space="preserve">4. interne Abstimmungen sowie Abstimmungen mit Dritten, die mit der Erbringung der individuell zurechenbaren öffentlichen Leistung in Zusammenhang stehen,</w:t>
      </w:r>
    </w:p>
    <w:p>
      <w:pPr>
        <w:ind w:left="420"/>
      </w:pPr>
      <w:r>
        <w:t xml:space="preserve">5. Änderungswünsche des Gebührenschuldners im Rahmen der laufenden Leistungserbringung,</w:t>
      </w:r>
    </w:p>
    <w:p>
      <w:pPr>
        <w:ind w:left="420"/>
      </w:pPr>
      <w:r>
        <w:t xml:space="preserve">6. die Überprüfung der Einhaltung erlassener Nebenbestimmungen im Sinne des § 36 des Verwaltungsverfahrensgesetzes,</w:t>
      </w:r>
    </w:p>
    <w:p>
      <w:pPr>
        <w:ind w:left="420"/>
      </w:pPr>
      <w:r>
        <w:t xml:space="preserve">7. die Einbeziehung anderer Behörden nach § 2 Absatz 3 und § 4 des Akkreditierungsstellengesetzes.</w:t>
      </w:r>
    </w:p>
    <w:p>
      <w:r>
        <w:rPr>
          <w:color w:val="555555"/>
          <w:sz w:val="17"/>
        </w:rPr>
        <w:t xml:space="preserve">Zitiervorschlag: § 3 AkkStelleGebV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https://recht.nulegal.eu/gesetze/AkkStelleGebV/3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