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AkkStelleG — Zusammenarbeit mit anderen Behörden</w:t>
      </w:r>
    </w:p>
    <w:p>
      <w:r>
        <w:rPr>
          <w:color w:val="555555"/>
          <w:sz w:val="18"/>
        </w:rPr>
        <w:t xml:space="preserve">Akkreditierungsstellengesetz</w:t>
      </w:r>
    </w:p>
    <w:p>
      <w:r>
        <w:rPr>
          <w:color w:val="555555"/>
          <w:sz w:val="18"/>
        </w:rPr>
        <w:t xml:space="preserve">Stand: 10.06.2019 (konsolidierte Textfassung, kein amtliches Inkrafttretensdatum)</w:t>
      </w:r>
    </w:p>
    <w:p>
      <w:r>
        <w:t xml:space="preserve">(1) Den Behörden, die auf Grund einer Rechtsvorschrift Konformitätsbewertungsstellen die Befugnis erteilen, als solche tätig zu werden, übermittelt die Akkreditierungsstelle unverzüglich die notwendigen Informationen über Akkreditierungstätigkeiten oder Maßnahmen, die die Akkreditierungsstelle ergriffen hat. Werden der Akkreditierungsstelle Geschäftsgeheimnisse bekannt, so schützt sie deren Vertraulichkeit gegenüber Dritten.</w:t>
      </w:r>
    </w:p>
    <w:p>
      <w:r>
        <w:t xml:space="preserve">(2) Die Akkreditierungsstelle hat den in Absatz 1 genannten Behörden auf deren Ersuchen Auskunft zu erteilen und auf deren Verlangen ein Überprüfungsverfahren einzuleiten, wenn sie über Mängel hinsichtlich der fachlichen Kompetenz einer Konformitätsbewertungsstelle unterrichtet wird.</w:t>
      </w:r>
    </w:p>
    <w:p>
      <w:r>
        <w:t xml:space="preserve">(3) Bei Akkreditierungen für die in § 1 Absatz 2 Satz 2 genannten Bereiche trifft die Akkreditierungsstelle die Akkreditierungsentscheidung im Einvernehmen mit den Behörden, die die Begutachtung nach § 2 Absatz 3 durchführen.</w:t>
      </w:r>
    </w:p>
    <w:p>
      <w:r>
        <w:rPr>
          <w:color w:val="555555"/>
          <w:sz w:val="17"/>
        </w:rPr>
        <w:t xml:space="preserve">Zitiervorschlag: § 4 AkkStelleG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https://recht.nulegal.eu/gesetze/AkkStelleG/4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