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AkkStelleG — Voraussetzungen und Durchführung der Beleihung</w:t>
      </w:r>
    </w:p>
    <w:p>
      <w:r>
        <w:rPr>
          <w:color w:val="555555"/>
          <w:sz w:val="18"/>
        </w:rPr>
        <w:t xml:space="preserve">Akkreditierungsstellengesetz</w:t>
      </w:r>
    </w:p>
    <w:p>
      <w:r>
        <w:rPr>
          <w:color w:val="555555"/>
          <w:sz w:val="18"/>
        </w:rPr>
        <w:t xml:space="preserve">Stand: 10.06.2019 (konsolidierte Textfassung, kein amtliches Inkrafttretensdatum)</w:t>
      </w:r>
    </w:p>
    <w:p>
      <w:r>
        <w:t xml:space="preserve">(1) Die Beleihung ist nur zulässig, wenn</w:t>
      </w:r>
    </w:p>
    <w:p>
      <w:pPr>
        <w:ind w:left="420"/>
      </w:pPr>
      <w:r>
        <w:t xml:space="preserve">1. die zu beleihende juristische Person des Privatrechts die Gewähr für die ordnungsgemäße Erfüllung der Aufgaben der Akkreditierungsstelle bietet, insbesondere die Anforderungen gemäß Artikel 8 der Verordnung (EG) Nr. 765/2008 erfüllt,</w:t>
      </w:r>
    </w:p>
    <w:p>
      <w:pPr>
        <w:ind w:left="420"/>
      </w:pPr>
      <w:r>
        <w:t xml:space="preserve">2. der Bund an der zu beleihenden juristischen Person des Privatrechts zu zwei Dritteln beteiligt ist oder der Bund und die Länder, soweit letztere dies wünschen, zu jeweils einem Drittel an der juristischen Person des Privatrechts beteiligt sind und</w:t>
      </w:r>
    </w:p>
    <w:p>
      <w:pPr>
        <w:ind w:left="420"/>
      </w:pPr>
      <w:r>
        <w:t xml:space="preserve">3. die zu beleihende juristische Person des Privatrechts einen Akkreditierungsausschuss eingerichtet hat, der im Innenverhältnis in den in § 1 Absatz 2 Satz 2 genannten Bereichen die Akkreditierungsentscheidung trifft. Bei dessen Besetzung ist sicherzustellen, dass zwei Drittel der Mitglieder aus sach- und fachkundigen Personen, die Angehörige der die Befugnis erteilenden Behörden sind, berufen werden. Dazu sind den in § 8 Absatz 1 genannten Bundesministerien entsprechende Entsenderechte einzuräumen, die sie unter Einbeziehung der nach § 5 Absatz 8 zuständigen Fachbeiräte ausüben.</w:t>
      </w:r>
    </w:p>
    <w:p>
      <w:r>
        <w:t xml:space="preserve">Ein Anspruch auf Beleihung besteht nicht.</w:t>
      </w:r>
    </w:p>
    <w:p>
      <w:r>
        <w:t xml:space="preserve">(2) Die zu beleihende juristische Person des Privatrechts muss für die Akkreditierungsstelle über eine angemessene Haftpflichtversicherung mit einer Deckungssumme von wenigstens 10 Millionen Euro verfügen.</w:t>
      </w:r>
    </w:p>
    <w:p>
      <w:r>
        <w:t xml:space="preserve">(3) Die Beleihung kann erstmals zum Ablauf des fünften Jahres nach Wirksamwerden der Beleihung mit einer Frist von zwei Jahren beendet werden. Nach Ablauf des fünften Jahres kann die Beleihung jederzeit mit einer Frist von zwei Jahren beendet werden. Haben die Voraussetzungen für die Beleihung nicht vorgelegen oder sind sie nachträglich entfallen, kann die Beleihung jederzeit beendet werden.</w:t>
      </w:r>
    </w:p>
    <w:p>
      <w:r>
        <w:t xml:space="preserve">(4) Wird die Beleihung nach Absatz 3 Satz 3 beendet, besteht kein Anspruch auf Ausgleich.</w:t>
      </w:r>
    </w:p>
    <w:p>
      <w:r>
        <w:rPr>
          <w:color w:val="555555"/>
          <w:sz w:val="17"/>
        </w:rPr>
        <w:t xml:space="preserve">Zitiervorschlag: § 10 AkkStelleG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https://recht.nulegal.eu/gesetze/AkkStelleG/10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