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AkadSKV (Bayern) — Förderungen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allen mit Unterstützung der Akademie herausgegebenen Druckschriften sind fünf Stücke unentgeltlich an die Akademie abzuliefern.</w:t>
      </w:r>
    </w:p>
    <w:p>
      <w:r>
        <w:t xml:space="preserve">(2) Die Akademie kann die Bewilligung von Mitteln für künstlerische Zwecke mit Bedingungen verknüpfen.</w:t>
      </w:r>
    </w:p>
    <w:p>
      <w:r>
        <w:rPr>
          <w:color w:val="555555"/>
          <w:sz w:val="17"/>
        </w:rPr>
        <w:t xml:space="preserve">Zitiervorschlag: § 9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