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AkadSKV (Bayern) — Mitarbeiter</w:t>
      </w:r>
    </w:p>
    <w:p>
      <w:r>
        <w:rPr>
          <w:color w:val="555555"/>
          <w:sz w:val="18"/>
        </w:rPr>
        <w:t xml:space="preserve">Verordnung über die Bayerische Akademie der Schönen Künste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Mitarbeiter der Akademie werden vom Generalsekretär im Einvernehmen mit dem Präsidenten und mit Genehmigung des Staatsministeriums eingestellt.</w:t>
      </w:r>
    </w:p>
    <w:p>
      <w:r>
        <w:rPr>
          <w:color w:val="555555"/>
          <w:sz w:val="17"/>
        </w:rPr>
        <w:t xml:space="preserve">Zitiervorschlag: § 4 AkadSKV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https://recht.nulegal.eu/gesetze/AkadSKV/4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