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AkadSKV (Bayern) — Art der Mitgliedschaft, Abteilungen</w:t>
      </w:r>
    </w:p>
    <w:p>
      <w:r>
        <w:rPr>
          <w:color w:val="555555"/>
          <w:sz w:val="18"/>
        </w:rPr>
        <w:t xml:space="preserve">Verordnung über die Bayerische Akademie der Schönen Künste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Akademie besteht aus ordentlichen, korrespondierenden und Ehrenmitgliedern, die in ihrer Gesamtheit zur Erfüllung der der Akademie in § 1 Abs. 2 gestellten Aufgaben berufen sind.</w:t>
      </w:r>
    </w:p>
    <w:p>
      <w:r>
        <w:t xml:space="preserve">(2) Die Akademie gliedert sich in die Abteilungen für Bildende Kunst und Architektur, für Literatur, für Musik, für Darstellende Kunst sowie für Film- und Medienkunst. Jede Abteilung kann durch Mehrheitsbeschluß ihrer ordentlichen Mitglieder Unterabteilungen bilden oder solche wieder aufheben.</w:t>
      </w:r>
    </w:p>
    <w:p>
      <w:r>
        <w:rPr>
          <w:color w:val="555555"/>
          <w:sz w:val="17"/>
        </w:rPr>
        <w:t xml:space="preserve">Zitiervorschlag: § 2 AkadSKV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https://recht.nulegal.eu/gesetze/AkadSKV/2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