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AkadSKV (Bayern) — Verwendungsbericht</w:t>
      </w:r>
    </w:p>
    <w:p>
      <w:r>
        <w:rPr>
          <w:color w:val="555555"/>
          <w:sz w:val="18"/>
        </w:rPr>
        <w:t xml:space="preserve">Verordnung über die Bayerische Akademie der Schönen Künste</w:t>
      </w:r>
    </w:p>
    <w:p>
      <w:r>
        <w:rPr>
          <w:color w:val="555555"/>
          <w:sz w:val="18"/>
        </w:rPr>
        <w:t xml:space="preserve">Landesrecht Bayern</w:t>
      </w:r>
    </w:p>
    <w:p>
      <w:r>
        <w:rPr>
          <w:color w:val="555555"/>
          <w:sz w:val="18"/>
        </w:rPr>
        <w:t xml:space="preserve">Stand: 25.08.2026 (konsolidierte Textfassung, kein amtliches Inkrafttretensdatum)</w:t>
      </w:r>
    </w:p>
    <w:p>
      <w:r>
        <w:t xml:space="preserve">Wer Mittel der Akademie erhält, hat spätestens ein Jahr nach der Auszahlung einen Bericht über die Verwendung zu erstatten. Die Auszahlung erfolgt nur, wenn sich der Empfänger schriftlich verpflichtet, diese Bestimmung einzuhalten oder die bewilligten Mittel zurückzuzahlen.</w:t>
      </w:r>
    </w:p>
    <w:p>
      <w:r>
        <w:rPr>
          <w:color w:val="555555"/>
          <w:sz w:val="17"/>
        </w:rPr>
        <w:t xml:space="preserve">Zitiervorschlag: § 10 AkadSKV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https://recht.nulegal.eu/gesetze/AkadSKV/10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