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 AkadPolBiG (Bayern)</w:t>
      </w:r>
    </w:p>
    <w:p>
      <w:r>
        <w:rPr>
          <w:color w:val="555555"/>
          <w:sz w:val="18"/>
        </w:rPr>
        <w:t xml:space="preserve">Gesetz über die Errichtung einer Akademie für Politische Bildung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Direktor vertritt die Akademie nach außen. Er stellt die Richtlinien für die Arbeit der Akademie und den Haushaltsvoranschlag im Rahmen der verfügbaren Mittel (Art. 1 Abs. 2) auf. Er leitet die Akademie nach Maßgabe der Richtlinien und des Haushaltsplans in sinngemäßer Anwendung der für die staatliche Haushaltsführung geltenden Vorschriften.</w:t>
      </w:r>
    </w:p>
    <w:p>
      <w:r>
        <w:t xml:space="preserve">(2) Der Direktor wird im Fall seiner Verhinderung von dem nach dem Dienstalter, bei gleichem Dienstalter nach dem Lebensalter ältesten hauptamtlichen Dozenten vertreten.</w:t>
      </w:r>
    </w:p>
    <w:p>
      <w:r>
        <w:rPr>
          <w:color w:val="555555"/>
          <w:sz w:val="17"/>
        </w:rPr>
        <w:t xml:space="preserve">Zitiervorschlag: Art 10 AkadPolBiG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https://recht.nulegal.eu/gesetze/AkadPolBiG/10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